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2.xml.rels" ContentType="application/vnd.openxmlformats-package.relationships+xml"/>
  <Override PartName="/word/_rels/footer1.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media/image5.png" ContentType="image/png"/>
  <Override PartName="/word/media/image4.png" ContentType="image/png"/>
  <Override PartName="/word/media/image3.png" ContentType="image/png"/>
  <Override PartName="/word/media/image2.png" ContentType="image/png"/>
  <Override PartName="/word/media/image1.emf" ContentType="image/x-emf"/>
  <Override PartName="/word/embeddings/oleObject1.bin" ContentType="application/vnd.openxmlformats-officedocument.oleObject"/>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iCs/>
          <w:color w:val="63849B"/>
          <w:sz w:val="44"/>
        </w:rPr>
      </w:pPr>
      <w:bookmarkStart w:id="0" w:name="_GoBack"/>
      <w:bookmarkEnd w:id="0"/>
      <w:r>
        <w:rPr>
          <w:b/>
          <w:bCs/>
          <w:iCs/>
          <w:color w:val="63849B"/>
          <w:sz w:val="44"/>
        </w:rPr>
        <w:tab/>
        <w:tab/>
        <w:tab/>
        <w:tab/>
        <w:tab/>
        <w:tab/>
        <w:tab/>
        <w:tab/>
        <w:tab/>
        <w:tab/>
        <w:t>Załącznik nr 5</w:t>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t xml:space="preserve">Specyfikacja techniczna interfejsu do obsługi </w:t>
      </w:r>
    </w:p>
    <w:p>
      <w:pPr>
        <w:pStyle w:val="Normal"/>
        <w:jc w:val="center"/>
        <w:rPr>
          <w:b/>
          <w:b/>
          <w:bCs/>
          <w:iCs/>
          <w:color w:val="63849B"/>
          <w:sz w:val="44"/>
        </w:rPr>
      </w:pPr>
      <w:r>
        <w:rPr>
          <w:b/>
          <w:bCs/>
          <w:iCs/>
          <w:color w:val="63849B"/>
          <w:sz w:val="44"/>
        </w:rPr>
        <w:t>Profilu Kandydata na Kierowcę.</w:t>
      </w:r>
    </w:p>
    <w:p>
      <w:pPr>
        <w:pStyle w:val="Normal"/>
        <w:jc w:val="center"/>
        <w:rPr>
          <w:b/>
          <w:b/>
          <w:bCs/>
          <w:iCs/>
          <w:color w:val="63849B"/>
          <w:sz w:val="32"/>
          <w:szCs w:val="32"/>
        </w:rPr>
      </w:pPr>
      <w:r>
        <w:rPr>
          <w:b/>
          <w:bCs/>
          <w:iCs/>
          <w:color w:val="63849B"/>
          <w:sz w:val="32"/>
          <w:szCs w:val="32"/>
        </w:rPr>
        <w:t>(OE OSK)</w:t>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t>31 lipca 2015 r.</w:t>
      </w:r>
    </w:p>
    <w:p>
      <w:pPr>
        <w:pStyle w:val="Normal"/>
        <w:jc w:val="center"/>
        <w:rPr>
          <w:b/>
          <w:b/>
          <w:bCs/>
          <w:iCs/>
          <w:color w:val="63849B"/>
          <w:sz w:val="44"/>
        </w:rPr>
      </w:pPr>
      <w:r>
        <w:rPr>
          <w:b/>
          <w:bCs/>
          <w:iCs/>
          <w:color w:val="63849B"/>
          <w:sz w:val="44"/>
        </w:rPr>
        <w:t>wersja 1.1</w:t>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r>
    </w:p>
    <w:p>
      <w:pPr>
        <w:pStyle w:val="Normal"/>
        <w:jc w:val="center"/>
        <w:rPr>
          <w:b/>
          <w:b/>
          <w:bCs/>
          <w:iCs/>
          <w:color w:val="63849B"/>
          <w:sz w:val="44"/>
        </w:rPr>
      </w:pPr>
      <w:r>
        <w:rPr>
          <w:b/>
          <w:bCs/>
          <w:iCs/>
          <w:color w:val="63849B"/>
          <w:sz w:val="44"/>
        </w:rPr>
      </w:r>
    </w:p>
    <w:p>
      <w:pPr>
        <w:pStyle w:val="Normal"/>
        <w:spacing w:lineRule="auto" w:line="276"/>
        <w:jc w:val="left"/>
        <w:rPr>
          <w:b/>
          <w:b/>
          <w:bCs/>
          <w:iCs/>
          <w:color w:val="63849B"/>
          <w:lang w:eastAsia="en-US"/>
        </w:rPr>
      </w:pPr>
      <w:r>
        <w:rPr>
          <w:b/>
          <w:bCs/>
          <w:iCs/>
          <w:color w:val="63849B"/>
          <w:lang w:eastAsia="en-US"/>
        </w:rPr>
      </w:r>
    </w:p>
    <w:p>
      <w:pPr>
        <w:pStyle w:val="Normal"/>
        <w:spacing w:lineRule="auto" w:line="276"/>
        <w:jc w:val="left"/>
        <w:rPr>
          <w:b/>
          <w:b/>
          <w:bCs/>
          <w:iCs/>
          <w:color w:val="63849B"/>
          <w:lang w:eastAsia="en-US"/>
        </w:rPr>
      </w:pPr>
      <w:r>
        <w:rPr>
          <w:b/>
          <w:bCs/>
          <w:iCs/>
          <w:color w:val="63849B"/>
          <w:lang w:eastAsia="en-US"/>
        </w:rPr>
      </w:r>
    </w:p>
    <w:p>
      <w:pPr>
        <w:pStyle w:val="Normal"/>
        <w:spacing w:lineRule="auto" w:line="276"/>
        <w:jc w:val="left"/>
        <w:rPr>
          <w:b/>
          <w:b/>
          <w:bCs/>
          <w:iCs/>
          <w:color w:val="63849B"/>
          <w:lang w:eastAsia="en-US"/>
        </w:rPr>
      </w:pPr>
      <w:r>
        <w:rPr>
          <w:b/>
          <w:bCs/>
          <w:iCs/>
          <w:color w:val="63849B"/>
          <w:lang w:eastAsia="en-US"/>
        </w:rPr>
      </w:r>
    </w:p>
    <w:p>
      <w:pPr>
        <w:pStyle w:val="Normal"/>
        <w:spacing w:lineRule="auto" w:line="276"/>
        <w:jc w:val="left"/>
        <w:rPr>
          <w:b/>
          <w:b/>
          <w:bCs/>
          <w:iCs/>
          <w:color w:val="63849B"/>
          <w:lang w:eastAsia="en-US"/>
        </w:rPr>
      </w:pPr>
      <w:r>
        <w:rPr>
          <w:b/>
          <w:bCs/>
          <w:iCs/>
          <w:color w:val="63849B"/>
          <w:lang w:eastAsia="en-US"/>
        </w:rPr>
      </w:r>
    </w:p>
    <w:p>
      <w:pPr>
        <w:pStyle w:val="Normal"/>
        <w:spacing w:lineRule="auto" w:line="276"/>
        <w:jc w:val="left"/>
        <w:rPr>
          <w:b/>
          <w:b/>
          <w:bCs/>
          <w:iCs/>
          <w:color w:val="63849B"/>
          <w:lang w:eastAsia="en-US"/>
        </w:rPr>
      </w:pPr>
      <w:r>
        <w:rPr>
          <w:b/>
          <w:bCs/>
          <w:iCs/>
          <w:color w:val="63849B"/>
          <w:lang w:eastAsia="en-US"/>
        </w:rPr>
      </w:r>
    </w:p>
    <w:p>
      <w:pPr>
        <w:pStyle w:val="Normal"/>
        <w:spacing w:lineRule="auto" w:line="276"/>
        <w:jc w:val="left"/>
        <w:rPr>
          <w:b/>
          <w:b/>
          <w:bCs/>
          <w:iCs/>
          <w:color w:val="63849B"/>
          <w:lang w:eastAsia="en-US"/>
        </w:rPr>
      </w:pPr>
      <w:r>
        <w:rPr>
          <w:b/>
          <w:bCs/>
          <w:iCs/>
          <w:color w:val="63849B"/>
          <w:lang w:eastAsia="en-US"/>
        </w:rPr>
        <w:t xml:space="preserve">Dotyczy umowy z dn. 27.09.2013r. w sprawie realizacji projektu „CEPiK 2.0” </w:t>
      </w:r>
    </w:p>
    <w:p>
      <w:pPr>
        <w:pStyle w:val="Normal"/>
        <w:spacing w:lineRule="auto" w:line="276"/>
        <w:jc w:val="left"/>
        <w:rPr>
          <w:b/>
          <w:b/>
          <w:bCs/>
          <w:iCs/>
          <w:color w:val="63849B"/>
          <w:lang w:eastAsia="en-US"/>
        </w:rPr>
      </w:pPr>
      <w:r>
        <w:rPr>
          <w:b/>
          <w:bCs/>
          <w:iCs/>
          <w:color w:val="63849B"/>
          <w:lang w:eastAsia="en-US"/>
        </w:rPr>
        <w:t>Nr MSW: 8/DEP/2013</w:t>
      </w:r>
    </w:p>
    <w:p>
      <w:pPr>
        <w:pStyle w:val="Normal"/>
        <w:spacing w:lineRule="auto" w:line="276"/>
        <w:jc w:val="left"/>
        <w:rPr/>
      </w:pPr>
      <w:r>
        <w:rPr>
          <w:b/>
          <w:bCs/>
          <w:iCs/>
          <w:color w:val="63849B"/>
          <w:lang w:eastAsia="en-US"/>
        </w:rPr>
        <w:t>Nr COI: 6/U/COI/MSW/2013</w:t>
      </w:r>
      <w:r>
        <w:br w:type="page"/>
      </w:r>
    </w:p>
    <w:p>
      <w:pPr>
        <w:pStyle w:val="Nagwekspisutreci1"/>
        <w:rPr/>
      </w:pPr>
      <w:r>
        <w:rPr/>
        <w:t>Spis treści</w:t>
      </w:r>
    </w:p>
    <w:p>
      <w:pPr>
        <w:pStyle w:val="Spistreci1"/>
        <w:rPr>
          <w:rFonts w:ascii="Calibri" w:hAnsi="Calibri" w:eastAsia="ＭＳ 明朝" w:cs="" w:asciiTheme="minorHAnsi" w:cstheme="minorBidi" w:eastAsiaTheme="minorEastAsia" w:hAnsiTheme="minorHAnsi"/>
          <w:b w:val="false"/>
          <w:b w:val="false"/>
          <w:szCs w:val="22"/>
          <w:lang w:eastAsia="pl-PL"/>
        </w:rPr>
      </w:pPr>
      <w:r>
        <w:fldChar w:fldCharType="begin"/>
      </w:r>
      <w:r>
        <w:instrText> TOC \z \o "1-3" \u \h</w:instrText>
      </w:r>
      <w:r>
        <w:fldChar w:fldCharType="separate"/>
      </w:r>
      <w:hyperlink w:anchor="_Toc426106405">
        <w:r>
          <w:rPr>
            <w:webHidden/>
            <w:rStyle w:val="Czeindeksu"/>
          </w:rPr>
          <w:t>Metryka dokumentu</w:t>
        </w:r>
        <w:r>
          <w:rPr>
            <w:webHidden/>
          </w:rPr>
          <w:fldChar w:fldCharType="begin"/>
        </w:r>
        <w:r>
          <w:rPr>
            <w:webHidden/>
          </w:rPr>
          <w:instrText>PAGEREF _Toc426106405 \h</w:instrText>
        </w:r>
        <w:r>
          <w:rPr>
            <w:webHidden/>
          </w:rPr>
          <w:fldChar w:fldCharType="separate"/>
        </w:r>
        <w:r>
          <w:rPr>
            <w:rStyle w:val="Czeindeksu"/>
            <w:vanish w:val="false"/>
          </w:rPr>
          <w:tab/>
          <w:t>3</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06">
        <w:r>
          <w:rPr>
            <w:webHidden/>
            <w:rStyle w:val="Czeindeksu"/>
          </w:rPr>
          <w:t>Historia zmian</w:t>
        </w:r>
        <w:r>
          <w:rPr>
            <w:webHidden/>
          </w:rPr>
          <w:fldChar w:fldCharType="begin"/>
        </w:r>
        <w:r>
          <w:rPr>
            <w:webHidden/>
          </w:rPr>
          <w:instrText>PAGEREF _Toc426106406 \h</w:instrText>
        </w:r>
        <w:r>
          <w:rPr>
            <w:webHidden/>
          </w:rPr>
          <w:fldChar w:fldCharType="separate"/>
        </w:r>
        <w:r>
          <w:rPr>
            <w:rStyle w:val="Czeindeksu"/>
            <w:vanish w:val="false"/>
          </w:rPr>
          <w:tab/>
          <w:t>3</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07">
        <w:r>
          <w:rPr>
            <w:webHidden/>
            <w:rStyle w:val="Czeindeksu"/>
          </w:rPr>
          <w:t>Słownik podstawowych pojęć</w:t>
        </w:r>
        <w:r>
          <w:rPr>
            <w:webHidden/>
          </w:rPr>
          <w:fldChar w:fldCharType="begin"/>
        </w:r>
        <w:r>
          <w:rPr>
            <w:webHidden/>
          </w:rPr>
          <w:instrText>PAGEREF _Toc426106407 \h</w:instrText>
        </w:r>
        <w:r>
          <w:rPr>
            <w:webHidden/>
          </w:rPr>
          <w:fldChar w:fldCharType="separate"/>
        </w:r>
        <w:r>
          <w:rPr>
            <w:rStyle w:val="Czeindeksu"/>
            <w:vanish w:val="false"/>
          </w:rPr>
          <w:tab/>
          <w:t>4</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08">
        <w:r>
          <w:rPr>
            <w:webHidden/>
            <w:rStyle w:val="Czeindeksu"/>
          </w:rPr>
          <w:t>1.</w:t>
        </w:r>
        <w:r>
          <w:rPr>
            <w:rStyle w:val="Czeindeksu"/>
            <w:rFonts w:eastAsia="ＭＳ 明朝" w:cs="" w:cstheme="minorBidi" w:eastAsiaTheme="minorEastAsia"/>
            <w:b w:val="false"/>
            <w:szCs w:val="22"/>
            <w:lang w:eastAsia="pl-PL"/>
          </w:rPr>
          <w:tab/>
        </w:r>
        <w:r>
          <w:rPr>
            <w:rStyle w:val="Czeindeksu"/>
          </w:rPr>
          <w:t>Cel i zakres dokumentu</w:t>
        </w:r>
        <w:r>
          <w:rPr>
            <w:webHidden/>
          </w:rPr>
          <w:fldChar w:fldCharType="begin"/>
        </w:r>
        <w:r>
          <w:rPr>
            <w:webHidden/>
          </w:rPr>
          <w:instrText>PAGEREF _Toc426106408 \h</w:instrText>
        </w:r>
        <w:r>
          <w:rPr>
            <w:webHidden/>
          </w:rPr>
          <w:fldChar w:fldCharType="separate"/>
        </w:r>
        <w:r>
          <w:rPr>
            <w:rStyle w:val="Czeindeksu"/>
            <w:vanish w:val="false"/>
          </w:rPr>
          <w:tab/>
          <w:t>5</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09">
        <w:r>
          <w:rPr>
            <w:webHidden/>
            <w:rStyle w:val="Czeindeksu"/>
          </w:rPr>
          <w:t>2.</w:t>
        </w:r>
        <w:r>
          <w:rPr>
            <w:rStyle w:val="Czeindeksu"/>
            <w:rFonts w:eastAsia="ＭＳ 明朝" w:cs="" w:cstheme="minorBidi" w:eastAsiaTheme="minorEastAsia"/>
            <w:b w:val="false"/>
            <w:szCs w:val="22"/>
            <w:lang w:eastAsia="pl-PL"/>
          </w:rPr>
          <w:tab/>
        </w:r>
        <w:r>
          <w:rPr>
            <w:rStyle w:val="Czeindeksu"/>
          </w:rPr>
          <w:t>Ogólna charakterystyka interfejsu udostępniania danych dotyczących Profilu Kandydata na Kierowcę</w:t>
        </w:r>
        <w:r>
          <w:rPr>
            <w:webHidden/>
          </w:rPr>
          <w:fldChar w:fldCharType="begin"/>
        </w:r>
        <w:r>
          <w:rPr>
            <w:webHidden/>
          </w:rPr>
          <w:instrText>PAGEREF _Toc426106409 \h</w:instrText>
        </w:r>
        <w:r>
          <w:rPr>
            <w:webHidden/>
          </w:rPr>
          <w:fldChar w:fldCharType="separate"/>
        </w:r>
        <w:r>
          <w:rPr>
            <w:rStyle w:val="Czeindeksu"/>
            <w:vanish w:val="false"/>
          </w:rPr>
          <w:tab/>
          <w:t>5</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10">
        <w:r>
          <w:rPr>
            <w:webHidden/>
            <w:rStyle w:val="Czeindeksu"/>
          </w:rPr>
          <w:t>3.</w:t>
        </w:r>
        <w:r>
          <w:rPr>
            <w:rStyle w:val="Czeindeksu"/>
            <w:rFonts w:eastAsia="ＭＳ 明朝" w:cs="" w:cstheme="minorBidi" w:eastAsiaTheme="minorEastAsia"/>
            <w:b w:val="false"/>
            <w:szCs w:val="22"/>
            <w:lang w:eastAsia="pl-PL"/>
          </w:rPr>
          <w:tab/>
        </w:r>
        <w:r>
          <w:rPr>
            <w:rStyle w:val="Czeindeksu"/>
          </w:rPr>
          <w:t>Podłączenie do systemu SI CEPiK</w:t>
        </w:r>
        <w:r>
          <w:rPr>
            <w:webHidden/>
          </w:rPr>
          <w:fldChar w:fldCharType="begin"/>
        </w:r>
        <w:r>
          <w:rPr>
            <w:webHidden/>
          </w:rPr>
          <w:instrText>PAGEREF _Toc426106410 \h</w:instrText>
        </w:r>
        <w:r>
          <w:rPr>
            <w:webHidden/>
          </w:rPr>
          <w:fldChar w:fldCharType="separate"/>
        </w:r>
        <w:r>
          <w:rPr>
            <w:rStyle w:val="Czeindeksu"/>
            <w:vanish w:val="false"/>
          </w:rPr>
          <w:tab/>
          <w:t>6</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11">
        <w:r>
          <w:rPr>
            <w:webHidden/>
            <w:rStyle w:val="Czeindeksu"/>
          </w:rPr>
          <w:t>3.1.</w:t>
        </w:r>
        <w:r>
          <w:rPr>
            <w:rStyle w:val="Czeindeksu"/>
            <w:rFonts w:eastAsia="ＭＳ 明朝" w:cs="" w:cstheme="minorBidi" w:eastAsiaTheme="minorEastAsia"/>
          </w:rPr>
          <w:tab/>
        </w:r>
        <w:r>
          <w:rPr>
            <w:rStyle w:val="Czeindeksu"/>
          </w:rPr>
          <w:t>Podłączenie podmiotów do systemu CEPiK</w:t>
        </w:r>
        <w:r>
          <w:rPr>
            <w:webHidden/>
          </w:rPr>
          <w:fldChar w:fldCharType="begin"/>
        </w:r>
        <w:r>
          <w:rPr>
            <w:webHidden/>
          </w:rPr>
          <w:instrText>PAGEREF _Toc426106411 \h</w:instrText>
        </w:r>
        <w:r>
          <w:rPr>
            <w:webHidden/>
          </w:rPr>
          <w:fldChar w:fldCharType="separate"/>
        </w:r>
        <w:r>
          <w:rPr>
            <w:rStyle w:val="Czeindeksu"/>
            <w:vanish w:val="false"/>
          </w:rPr>
          <w:tab/>
          <w:t>6</w:t>
        </w:r>
        <w:r>
          <w:rPr>
            <w:webHidden/>
          </w:rPr>
          <w:fldChar w:fldCharType="end"/>
        </w:r>
      </w:hyperlink>
    </w:p>
    <w:p>
      <w:pPr>
        <w:pStyle w:val="Spistreci3"/>
        <w:tabs>
          <w:tab w:val="left" w:pos="1275" w:leader="none"/>
          <w:tab w:val="right" w:pos="9895" w:leader="dot"/>
        </w:tabs>
        <w:rPr>
          <w:rFonts w:ascii="Calibri" w:hAnsi="Calibri" w:eastAsia="ＭＳ 明朝" w:cs="" w:asciiTheme="minorHAnsi" w:cstheme="minorBidi" w:eastAsiaTheme="minorEastAsia" w:hAnsiTheme="minorHAnsi"/>
          <w:lang w:eastAsia="pl-PL"/>
        </w:rPr>
      </w:pPr>
      <w:hyperlink w:anchor="_Toc426106412">
        <w:r>
          <w:rPr>
            <w:webHidden/>
            <w:rStyle w:val="Czeindeksu"/>
          </w:rPr>
          <w:t>3.1.1.</w:t>
        </w:r>
        <w:r>
          <w:rPr>
            <w:rStyle w:val="Czeindeksu"/>
            <w:rFonts w:eastAsia="ＭＳ 明朝" w:cs="" w:cstheme="minorBidi" w:eastAsiaTheme="minorEastAsia"/>
            <w:lang w:eastAsia="pl-PL"/>
          </w:rPr>
          <w:tab/>
        </w:r>
        <w:r>
          <w:rPr>
            <w:rStyle w:val="Czeindeksu"/>
          </w:rPr>
          <w:t>Węzeł Internet</w:t>
        </w:r>
        <w:r>
          <w:rPr>
            <w:webHidden/>
          </w:rPr>
          <w:fldChar w:fldCharType="begin"/>
        </w:r>
        <w:r>
          <w:rPr>
            <w:webHidden/>
          </w:rPr>
          <w:instrText>PAGEREF _Toc426106412 \h</w:instrText>
        </w:r>
        <w:r>
          <w:rPr>
            <w:webHidden/>
          </w:rPr>
          <w:fldChar w:fldCharType="separate"/>
        </w:r>
        <w:r>
          <w:rPr>
            <w:rStyle w:val="Czeindeksu"/>
            <w:vanish w:val="false"/>
          </w:rPr>
          <w:tab/>
          <w:t>6</w:t>
        </w:r>
        <w:r>
          <w:rPr>
            <w:webHidden/>
          </w:rPr>
          <w:fldChar w:fldCharType="end"/>
        </w:r>
      </w:hyperlink>
    </w:p>
    <w:p>
      <w:pPr>
        <w:pStyle w:val="Spistreci3"/>
        <w:tabs>
          <w:tab w:val="left" w:pos="1275" w:leader="none"/>
          <w:tab w:val="right" w:pos="9895" w:leader="dot"/>
        </w:tabs>
        <w:rPr>
          <w:rFonts w:ascii="Calibri" w:hAnsi="Calibri" w:eastAsia="ＭＳ 明朝" w:cs="" w:asciiTheme="minorHAnsi" w:cstheme="minorBidi" w:eastAsiaTheme="minorEastAsia" w:hAnsiTheme="minorHAnsi"/>
          <w:lang w:eastAsia="pl-PL"/>
        </w:rPr>
      </w:pPr>
      <w:hyperlink w:anchor="_Toc426106413">
        <w:r>
          <w:rPr>
            <w:webHidden/>
            <w:rStyle w:val="Czeindeksu"/>
          </w:rPr>
          <w:t>3.1.2.</w:t>
        </w:r>
        <w:r>
          <w:rPr>
            <w:rStyle w:val="Czeindeksu"/>
            <w:rFonts w:eastAsia="ＭＳ 明朝" w:cs="" w:cstheme="minorBidi" w:eastAsiaTheme="minorEastAsia"/>
            <w:lang w:eastAsia="pl-PL"/>
          </w:rPr>
          <w:tab/>
        </w:r>
        <w:r>
          <w:rPr>
            <w:rStyle w:val="Czeindeksu"/>
          </w:rPr>
          <w:t>Węzeł WAN</w:t>
        </w:r>
        <w:r>
          <w:rPr>
            <w:webHidden/>
          </w:rPr>
          <w:fldChar w:fldCharType="begin"/>
        </w:r>
        <w:r>
          <w:rPr>
            <w:webHidden/>
          </w:rPr>
          <w:instrText>PAGEREF _Toc426106413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14">
        <w:r>
          <w:rPr>
            <w:webHidden/>
            <w:rStyle w:val="Czeindeksu"/>
          </w:rPr>
          <w:t>3.2.</w:t>
        </w:r>
        <w:r>
          <w:rPr>
            <w:rStyle w:val="Czeindeksu"/>
            <w:rFonts w:eastAsia="ＭＳ 明朝" w:cs="" w:cstheme="minorBidi" w:eastAsiaTheme="minorEastAsia"/>
          </w:rPr>
          <w:tab/>
        </w:r>
        <w:r>
          <w:rPr>
            <w:rStyle w:val="Czeindeksu"/>
          </w:rPr>
          <w:t>Wykorzystane protokoły</w:t>
        </w:r>
        <w:r>
          <w:rPr>
            <w:webHidden/>
          </w:rPr>
          <w:fldChar w:fldCharType="begin"/>
        </w:r>
        <w:r>
          <w:rPr>
            <w:webHidden/>
          </w:rPr>
          <w:instrText>PAGEREF _Toc426106414 \h</w:instrText>
        </w:r>
        <w:r>
          <w:rPr>
            <w:webHidden/>
          </w:rPr>
          <w:fldChar w:fldCharType="separate"/>
        </w:r>
        <w:r>
          <w:rPr>
            <w:rStyle w:val="Czeindeksu"/>
            <w:vanish w:val="false"/>
          </w:rPr>
          <w:tab/>
          <w:t>7</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15">
        <w:r>
          <w:rPr>
            <w:webHidden/>
            <w:rStyle w:val="Czeindeksu"/>
          </w:rPr>
          <w:t>4.</w:t>
        </w:r>
        <w:r>
          <w:rPr>
            <w:rStyle w:val="Czeindeksu"/>
            <w:rFonts w:eastAsia="ＭＳ 明朝" w:cs="" w:cstheme="minorBidi" w:eastAsiaTheme="minorEastAsia"/>
            <w:b w:val="false"/>
            <w:szCs w:val="22"/>
            <w:lang w:eastAsia="pl-PL"/>
          </w:rPr>
          <w:tab/>
        </w:r>
        <w:r>
          <w:rPr>
            <w:rStyle w:val="Czeindeksu"/>
          </w:rPr>
          <w:t>Uwierzytelnianie, autoryzacja, bezpieczeństwo</w:t>
        </w:r>
        <w:r>
          <w:rPr>
            <w:webHidden/>
          </w:rPr>
          <w:fldChar w:fldCharType="begin"/>
        </w:r>
        <w:r>
          <w:rPr>
            <w:webHidden/>
          </w:rPr>
          <w:instrText>PAGEREF _Toc426106415 \h</w:instrText>
        </w:r>
        <w:r>
          <w:rPr>
            <w:webHidden/>
          </w:rPr>
          <w:fldChar w:fldCharType="separate"/>
        </w:r>
        <w:r>
          <w:rPr>
            <w:rStyle w:val="Czeindeksu"/>
            <w:vanish w:val="false"/>
          </w:rPr>
          <w:tab/>
          <w:t>7</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16">
        <w:r>
          <w:rPr>
            <w:webHidden/>
            <w:rStyle w:val="Czeindeksu"/>
          </w:rPr>
          <w:t>4.1.</w:t>
        </w:r>
        <w:r>
          <w:rPr>
            <w:rStyle w:val="Czeindeksu"/>
            <w:rFonts w:eastAsia="ＭＳ 明朝" w:cs="" w:cstheme="minorBidi" w:eastAsiaTheme="minorEastAsia"/>
          </w:rPr>
          <w:tab/>
        </w:r>
        <w:r>
          <w:rPr>
            <w:rStyle w:val="Czeindeksu"/>
          </w:rPr>
          <w:t>Uwierzytelnianie i autoryzacja</w:t>
        </w:r>
        <w:r>
          <w:rPr>
            <w:webHidden/>
          </w:rPr>
          <w:fldChar w:fldCharType="begin"/>
        </w:r>
        <w:r>
          <w:rPr>
            <w:webHidden/>
          </w:rPr>
          <w:instrText>PAGEREF _Toc426106416 \h</w:instrText>
        </w:r>
        <w:r>
          <w:rPr>
            <w:webHidden/>
          </w:rPr>
          <w:fldChar w:fldCharType="separate"/>
        </w:r>
        <w:r>
          <w:rPr>
            <w:rStyle w:val="Czeindeksu"/>
            <w:vanish w:val="false"/>
          </w:rPr>
          <w:tab/>
          <w:t>8</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17">
        <w:r>
          <w:rPr>
            <w:webHidden/>
            <w:rStyle w:val="Czeindeksu"/>
          </w:rPr>
          <w:t>4.2.</w:t>
        </w:r>
        <w:r>
          <w:rPr>
            <w:rStyle w:val="Czeindeksu"/>
            <w:rFonts w:eastAsia="ＭＳ 明朝" w:cs="" w:cstheme="minorBidi" w:eastAsiaTheme="minorEastAsia"/>
          </w:rPr>
          <w:tab/>
        </w:r>
        <w:r>
          <w:rPr>
            <w:rStyle w:val="Czeindeksu"/>
          </w:rPr>
          <w:t>Poufność transmisji danych</w:t>
        </w:r>
        <w:r>
          <w:rPr>
            <w:webHidden/>
          </w:rPr>
          <w:fldChar w:fldCharType="begin"/>
        </w:r>
        <w:r>
          <w:rPr>
            <w:webHidden/>
          </w:rPr>
          <w:instrText>PAGEREF _Toc426106417 \h</w:instrText>
        </w:r>
        <w:r>
          <w:rPr>
            <w:webHidden/>
          </w:rPr>
          <w:fldChar w:fldCharType="separate"/>
        </w:r>
        <w:r>
          <w:rPr>
            <w:rStyle w:val="Czeindeksu"/>
            <w:vanish w:val="false"/>
          </w:rPr>
          <w:tab/>
          <w:t>8</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18">
        <w:r>
          <w:rPr>
            <w:webHidden/>
            <w:rStyle w:val="Czeindeksu"/>
          </w:rPr>
          <w:t>4.3.</w:t>
        </w:r>
        <w:r>
          <w:rPr>
            <w:rStyle w:val="Czeindeksu"/>
            <w:rFonts w:eastAsia="ＭＳ 明朝" w:cs="" w:cstheme="minorBidi" w:eastAsiaTheme="minorEastAsia"/>
          </w:rPr>
          <w:tab/>
        </w:r>
        <w:r>
          <w:rPr>
            <w:rStyle w:val="Czeindeksu"/>
          </w:rPr>
          <w:t>Rozliczalność i integralność</w:t>
        </w:r>
        <w:r>
          <w:rPr>
            <w:webHidden/>
          </w:rPr>
          <w:fldChar w:fldCharType="begin"/>
        </w:r>
        <w:r>
          <w:rPr>
            <w:webHidden/>
          </w:rPr>
          <w:instrText>PAGEREF _Toc426106418 \h</w:instrText>
        </w:r>
        <w:r>
          <w:rPr>
            <w:webHidden/>
          </w:rPr>
          <w:fldChar w:fldCharType="separate"/>
        </w:r>
        <w:r>
          <w:rPr>
            <w:rStyle w:val="Czeindeksu"/>
            <w:vanish w:val="false"/>
          </w:rPr>
          <w:tab/>
          <w:t>8</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19">
        <w:r>
          <w:rPr>
            <w:webHidden/>
            <w:rStyle w:val="Czeindeksu"/>
          </w:rPr>
          <w:t>5.</w:t>
        </w:r>
        <w:r>
          <w:rPr>
            <w:rStyle w:val="Czeindeksu"/>
            <w:rFonts w:eastAsia="ＭＳ 明朝" w:cs="" w:cstheme="minorBidi" w:eastAsiaTheme="minorEastAsia"/>
            <w:b w:val="false"/>
            <w:szCs w:val="22"/>
            <w:lang w:eastAsia="pl-PL"/>
          </w:rPr>
          <w:tab/>
        </w:r>
        <w:r>
          <w:rPr>
            <w:rStyle w:val="Czeindeksu"/>
          </w:rPr>
          <w:t>Wymagania dla systemu zewnętrznego</w:t>
        </w:r>
        <w:r>
          <w:rPr>
            <w:webHidden/>
          </w:rPr>
          <w:fldChar w:fldCharType="begin"/>
        </w:r>
        <w:r>
          <w:rPr>
            <w:webHidden/>
          </w:rPr>
          <w:instrText>PAGEREF _Toc426106419 \h</w:instrText>
        </w:r>
        <w:r>
          <w:rPr>
            <w:webHidden/>
          </w:rPr>
          <w:fldChar w:fldCharType="separate"/>
        </w:r>
        <w:r>
          <w:rPr>
            <w:rStyle w:val="Czeindeksu"/>
            <w:vanish w:val="false"/>
          </w:rPr>
          <w:tab/>
          <w:t>9</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0">
        <w:r>
          <w:rPr>
            <w:webHidden/>
            <w:rStyle w:val="Czeindeksu"/>
          </w:rPr>
          <w:t>5.1.</w:t>
        </w:r>
        <w:r>
          <w:rPr>
            <w:rStyle w:val="Czeindeksu"/>
            <w:rFonts w:eastAsia="ＭＳ 明朝" w:cs="" w:cstheme="minorBidi" w:eastAsiaTheme="minorEastAsia"/>
          </w:rPr>
          <w:tab/>
        </w:r>
        <w:r>
          <w:rPr>
            <w:rStyle w:val="Czeindeksu"/>
          </w:rPr>
          <w:t>Podpisywanie komunikatów</w:t>
        </w:r>
        <w:r>
          <w:rPr>
            <w:webHidden/>
          </w:rPr>
          <w:fldChar w:fldCharType="begin"/>
        </w:r>
        <w:r>
          <w:rPr>
            <w:webHidden/>
          </w:rPr>
          <w:instrText>PAGEREF _Toc426106420 \h</w:instrText>
        </w:r>
        <w:r>
          <w:rPr>
            <w:webHidden/>
          </w:rPr>
          <w:fldChar w:fldCharType="separate"/>
        </w:r>
        <w:r>
          <w:rPr>
            <w:rStyle w:val="Czeindeksu"/>
            <w:vanish w:val="false"/>
          </w:rPr>
          <w:tab/>
          <w:t>9</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1">
        <w:r>
          <w:rPr>
            <w:webHidden/>
            <w:rStyle w:val="Czeindeksu"/>
          </w:rPr>
          <w:t>5.2.</w:t>
        </w:r>
        <w:r>
          <w:rPr>
            <w:rStyle w:val="Czeindeksu"/>
            <w:rFonts w:eastAsia="ＭＳ 明朝" w:cs="" w:cstheme="minorBidi" w:eastAsiaTheme="minorEastAsia"/>
          </w:rPr>
          <w:tab/>
        </w:r>
        <w:r>
          <w:rPr>
            <w:rStyle w:val="Czeindeksu"/>
          </w:rPr>
          <w:t>Walidacja pól w API</w:t>
        </w:r>
        <w:r>
          <w:rPr>
            <w:webHidden/>
          </w:rPr>
          <w:fldChar w:fldCharType="begin"/>
        </w:r>
        <w:r>
          <w:rPr>
            <w:webHidden/>
          </w:rPr>
          <w:instrText>PAGEREF _Toc426106421 \h</w:instrText>
        </w:r>
        <w:r>
          <w:rPr>
            <w:webHidden/>
          </w:rPr>
          <w:fldChar w:fldCharType="separate"/>
        </w:r>
        <w:r>
          <w:rPr>
            <w:rStyle w:val="Czeindeksu"/>
            <w:vanish w:val="false"/>
          </w:rPr>
          <w:tab/>
          <w:t>9</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2">
        <w:r>
          <w:rPr>
            <w:webHidden/>
            <w:rStyle w:val="Czeindeksu"/>
          </w:rPr>
          <w:t>5.3.</w:t>
        </w:r>
        <w:r>
          <w:rPr>
            <w:rStyle w:val="Czeindeksu"/>
            <w:rFonts w:eastAsia="ＭＳ 明朝" w:cs="" w:cstheme="minorBidi" w:eastAsiaTheme="minorEastAsia"/>
          </w:rPr>
          <w:tab/>
        </w:r>
        <w:r>
          <w:rPr>
            <w:rStyle w:val="Czeindeksu"/>
          </w:rPr>
          <w:t>Komunikaty błędów</w:t>
        </w:r>
        <w:r>
          <w:rPr>
            <w:webHidden/>
          </w:rPr>
          <w:fldChar w:fldCharType="begin"/>
        </w:r>
        <w:r>
          <w:rPr>
            <w:webHidden/>
          </w:rPr>
          <w:instrText>PAGEREF _Toc426106422 \h</w:instrText>
        </w:r>
        <w:r>
          <w:rPr>
            <w:webHidden/>
          </w:rPr>
          <w:fldChar w:fldCharType="separate"/>
        </w:r>
        <w:r>
          <w:rPr>
            <w:rStyle w:val="Czeindeksu"/>
            <w:vanish w:val="false"/>
          </w:rPr>
          <w:tab/>
          <w:t>9</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3">
        <w:r>
          <w:rPr>
            <w:webHidden/>
            <w:rStyle w:val="Czeindeksu"/>
          </w:rPr>
          <w:t>5.4.</w:t>
        </w:r>
        <w:r>
          <w:rPr>
            <w:rStyle w:val="Czeindeksu"/>
            <w:rFonts w:eastAsia="ＭＳ 明朝" w:cs="" w:cstheme="minorBidi" w:eastAsiaTheme="minorEastAsia"/>
          </w:rPr>
          <w:tab/>
        </w:r>
        <w:r>
          <w:rPr>
            <w:rStyle w:val="Czeindeksu"/>
          </w:rPr>
          <w:t>Sprawdzanie dostępności serwisu</w:t>
        </w:r>
        <w:r>
          <w:rPr>
            <w:webHidden/>
          </w:rPr>
          <w:fldChar w:fldCharType="begin"/>
        </w:r>
        <w:r>
          <w:rPr>
            <w:webHidden/>
          </w:rPr>
          <w:instrText>PAGEREF _Toc426106423 \h</w:instrText>
        </w:r>
        <w:r>
          <w:rPr>
            <w:webHidden/>
          </w:rPr>
          <w:fldChar w:fldCharType="separate"/>
        </w:r>
        <w:r>
          <w:rPr>
            <w:rStyle w:val="Czeindeksu"/>
            <w:vanish w:val="false"/>
          </w:rPr>
          <w:tab/>
          <w:t>10</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4">
        <w:r>
          <w:rPr>
            <w:webHidden/>
            <w:rStyle w:val="Czeindeksu"/>
          </w:rPr>
          <w:t>5.5.</w:t>
        </w:r>
        <w:r>
          <w:rPr>
            <w:rStyle w:val="Czeindeksu"/>
            <w:rFonts w:eastAsia="ＭＳ 明朝" w:cs="" w:cstheme="minorBidi" w:eastAsiaTheme="minorEastAsia"/>
          </w:rPr>
          <w:tab/>
        </w:r>
        <w:r>
          <w:rPr>
            <w:rStyle w:val="Czeindeksu"/>
          </w:rPr>
          <w:t>Obsługa tokenów aktualności danych</w:t>
        </w:r>
        <w:r>
          <w:rPr>
            <w:webHidden/>
          </w:rPr>
          <w:fldChar w:fldCharType="begin"/>
        </w:r>
        <w:r>
          <w:rPr>
            <w:webHidden/>
          </w:rPr>
          <w:instrText>PAGEREF _Toc426106424 \h</w:instrText>
        </w:r>
        <w:r>
          <w:rPr>
            <w:webHidden/>
          </w:rPr>
          <w:fldChar w:fldCharType="separate"/>
        </w:r>
        <w:r>
          <w:rPr>
            <w:rStyle w:val="Czeindeksu"/>
            <w:vanish w:val="false"/>
          </w:rPr>
          <w:tab/>
          <w:t>10</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25">
        <w:r>
          <w:rPr>
            <w:webHidden/>
            <w:rStyle w:val="Czeindeksu"/>
          </w:rPr>
          <w:t>6.</w:t>
        </w:r>
        <w:r>
          <w:rPr>
            <w:rStyle w:val="Czeindeksu"/>
            <w:rFonts w:eastAsia="ＭＳ 明朝" w:cs="" w:cstheme="minorBidi" w:eastAsiaTheme="minorEastAsia"/>
            <w:b w:val="false"/>
            <w:szCs w:val="22"/>
            <w:lang w:eastAsia="pl-PL"/>
          </w:rPr>
          <w:tab/>
        </w:r>
        <w:r>
          <w:rPr>
            <w:rStyle w:val="Czeindeksu"/>
          </w:rPr>
          <w:t>Specyfikacja metod usługi</w:t>
        </w:r>
        <w:r>
          <w:rPr>
            <w:webHidden/>
          </w:rPr>
          <w:fldChar w:fldCharType="begin"/>
        </w:r>
        <w:r>
          <w:rPr>
            <w:webHidden/>
          </w:rPr>
          <w:instrText>PAGEREF _Toc426106425 \h</w:instrText>
        </w:r>
        <w:r>
          <w:rPr>
            <w:webHidden/>
          </w:rPr>
          <w:fldChar w:fldCharType="separate"/>
        </w:r>
        <w:r>
          <w:rPr>
            <w:rStyle w:val="Czeindeksu"/>
            <w:vanish w:val="false"/>
          </w:rPr>
          <w:tab/>
          <w:t>10</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6">
        <w:r>
          <w:rPr>
            <w:webHidden/>
            <w:rStyle w:val="Czeindeksu"/>
          </w:rPr>
          <w:t>6.1.</w:t>
        </w:r>
        <w:r>
          <w:rPr>
            <w:rStyle w:val="Czeindeksu"/>
            <w:rFonts w:eastAsia="ＭＳ 明朝" w:cs="" w:cstheme="minorBidi" w:eastAsiaTheme="minorEastAsia"/>
          </w:rPr>
          <w:tab/>
        </w:r>
        <w:r>
          <w:rPr>
            <w:rStyle w:val="Czeindeksu"/>
          </w:rPr>
          <w:t>Metoda pytanieOPkk</w:t>
        </w:r>
        <w:r>
          <w:rPr>
            <w:webHidden/>
          </w:rPr>
          <w:fldChar w:fldCharType="begin"/>
        </w:r>
        <w:r>
          <w:rPr>
            <w:webHidden/>
          </w:rPr>
          <w:instrText>PAGEREF _Toc426106426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7">
        <w:r>
          <w:rPr>
            <w:webHidden/>
            <w:rStyle w:val="Czeindeksu"/>
          </w:rPr>
          <w:t>6.2.</w:t>
        </w:r>
        <w:r>
          <w:rPr>
            <w:rStyle w:val="Czeindeksu"/>
            <w:rFonts w:eastAsia="ＭＳ 明朝" w:cs="" w:cstheme="minorBidi" w:eastAsiaTheme="minorEastAsia"/>
          </w:rPr>
          <w:tab/>
        </w:r>
        <w:r>
          <w:rPr>
            <w:rStyle w:val="Czeindeksu"/>
          </w:rPr>
          <w:t>Metoda zapisRezerwacjaPkk</w:t>
        </w:r>
        <w:r>
          <w:rPr>
            <w:webHidden/>
          </w:rPr>
          <w:fldChar w:fldCharType="begin"/>
        </w:r>
        <w:r>
          <w:rPr>
            <w:webHidden/>
          </w:rPr>
          <w:instrText>PAGEREF _Toc426106427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8">
        <w:r>
          <w:rPr>
            <w:webHidden/>
            <w:rStyle w:val="Czeindeksu"/>
          </w:rPr>
          <w:t>6.3.</w:t>
        </w:r>
        <w:r>
          <w:rPr>
            <w:rStyle w:val="Czeindeksu"/>
            <w:rFonts w:eastAsia="ＭＳ 明朝" w:cs="" w:cstheme="minorBidi" w:eastAsiaTheme="minorEastAsia"/>
          </w:rPr>
          <w:tab/>
        </w:r>
        <w:r>
          <w:rPr>
            <w:rStyle w:val="Czeindeksu"/>
          </w:rPr>
          <w:t>Metoda zapisUwolnieniePkk</w:t>
        </w:r>
        <w:r>
          <w:rPr>
            <w:webHidden/>
          </w:rPr>
          <w:fldChar w:fldCharType="begin"/>
        </w:r>
        <w:r>
          <w:rPr>
            <w:webHidden/>
          </w:rPr>
          <w:instrText>PAGEREF _Toc426106428 \h</w:instrText>
        </w:r>
        <w:r>
          <w:rPr>
            <w:webHidden/>
          </w:rPr>
          <w:fldChar w:fldCharType="separate"/>
        </w:r>
        <w:r>
          <w:rPr>
            <w:rStyle w:val="Czeindeksu"/>
            <w:vanish w:val="false"/>
          </w:rPr>
          <w:tab/>
          <w:t>11</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29">
        <w:r>
          <w:rPr>
            <w:webHidden/>
            <w:rStyle w:val="Czeindeksu"/>
          </w:rPr>
          <w:t>6.4.</w:t>
        </w:r>
        <w:r>
          <w:rPr>
            <w:rStyle w:val="Czeindeksu"/>
            <w:rFonts w:eastAsia="ＭＳ 明朝" w:cs="" w:cstheme="minorBidi" w:eastAsiaTheme="minorEastAsia"/>
          </w:rPr>
          <w:tab/>
        </w:r>
        <w:r>
          <w:rPr>
            <w:rStyle w:val="Czeindeksu"/>
          </w:rPr>
          <w:t>Metoda zapisPrzekazanieDanychKursuKnk</w:t>
        </w:r>
        <w:r>
          <w:rPr>
            <w:webHidden/>
          </w:rPr>
          <w:fldChar w:fldCharType="begin"/>
        </w:r>
        <w:r>
          <w:rPr>
            <w:webHidden/>
          </w:rPr>
          <w:instrText>PAGEREF _Toc426106429 \h</w:instrText>
        </w:r>
        <w:r>
          <w:rPr>
            <w:webHidden/>
          </w:rPr>
          <w:fldChar w:fldCharType="separate"/>
        </w:r>
        <w:r>
          <w:rPr>
            <w:rStyle w:val="Czeindeksu"/>
            <w:vanish w:val="false"/>
          </w:rPr>
          <w:tab/>
          <w:t>12</w:t>
        </w:r>
        <w:r>
          <w:rPr>
            <w:webHidden/>
          </w:rPr>
          <w:fldChar w:fldCharType="end"/>
        </w:r>
      </w:hyperlink>
    </w:p>
    <w:p>
      <w:pPr>
        <w:pStyle w:val="Spistreci2"/>
        <w:rPr>
          <w:rFonts w:ascii="Calibri" w:hAnsi="Calibri" w:eastAsia="ＭＳ 明朝" w:cs="" w:asciiTheme="minorHAnsi" w:cstheme="minorBidi" w:eastAsiaTheme="minorEastAsia" w:hAnsiTheme="minorHAnsi"/>
        </w:rPr>
      </w:pPr>
      <w:hyperlink w:anchor="_Toc426106430">
        <w:r>
          <w:rPr>
            <w:webHidden/>
            <w:rStyle w:val="Czeindeksu"/>
          </w:rPr>
          <w:t>6.5.</w:t>
        </w:r>
        <w:r>
          <w:rPr>
            <w:rStyle w:val="Czeindeksu"/>
            <w:rFonts w:eastAsia="ＭＳ 明朝" w:cs="" w:cstheme="minorBidi" w:eastAsiaTheme="minorEastAsia"/>
          </w:rPr>
          <w:tab/>
        </w:r>
        <w:r>
          <w:rPr>
            <w:rStyle w:val="Czeindeksu"/>
          </w:rPr>
          <w:t>Metoda zapisPrzekazanieDanychEgzaminuKnk</w:t>
        </w:r>
        <w:r>
          <w:rPr>
            <w:webHidden/>
          </w:rPr>
          <w:fldChar w:fldCharType="begin"/>
        </w:r>
        <w:r>
          <w:rPr>
            <w:webHidden/>
          </w:rPr>
          <w:instrText>PAGEREF _Toc426106430 \h</w:instrText>
        </w:r>
        <w:r>
          <w:rPr>
            <w:webHidden/>
          </w:rPr>
          <w:fldChar w:fldCharType="separate"/>
        </w:r>
        <w:r>
          <w:rPr>
            <w:rStyle w:val="Czeindeksu"/>
            <w:vanish w:val="false"/>
          </w:rPr>
          <w:tab/>
          <w:t>12</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31">
        <w:r>
          <w:rPr>
            <w:webHidden/>
            <w:rStyle w:val="Czeindeksu"/>
          </w:rPr>
          <w:t>7.</w:t>
        </w:r>
        <w:r>
          <w:rPr>
            <w:rStyle w:val="Czeindeksu"/>
            <w:rFonts w:eastAsia="ＭＳ 明朝" w:cs="" w:cstheme="minorBidi" w:eastAsiaTheme="minorEastAsia"/>
            <w:b w:val="false"/>
            <w:szCs w:val="22"/>
            <w:lang w:eastAsia="pl-PL"/>
          </w:rPr>
          <w:tab/>
        </w:r>
        <w:r>
          <w:rPr>
            <w:rStyle w:val="Czeindeksu"/>
          </w:rPr>
          <w:t>Słowniki</w:t>
        </w:r>
        <w:r>
          <w:rPr>
            <w:webHidden/>
          </w:rPr>
          <w:fldChar w:fldCharType="begin"/>
        </w:r>
        <w:r>
          <w:rPr>
            <w:webHidden/>
          </w:rPr>
          <w:instrText>PAGEREF _Toc426106431 \h</w:instrText>
        </w:r>
        <w:r>
          <w:rPr>
            <w:webHidden/>
          </w:rPr>
          <w:fldChar w:fldCharType="separate"/>
        </w:r>
        <w:r>
          <w:rPr>
            <w:rStyle w:val="Czeindeksu"/>
            <w:vanish w:val="false"/>
          </w:rPr>
          <w:tab/>
          <w:t>13</w:t>
        </w:r>
        <w:r>
          <w:rPr>
            <w:webHidden/>
          </w:rPr>
          <w:fldChar w:fldCharType="end"/>
        </w:r>
      </w:hyperlink>
    </w:p>
    <w:p>
      <w:pPr>
        <w:pStyle w:val="Spistreci1"/>
        <w:rPr>
          <w:rFonts w:ascii="Calibri" w:hAnsi="Calibri" w:eastAsia="ＭＳ 明朝" w:cs="" w:asciiTheme="minorHAnsi" w:cstheme="minorBidi" w:eastAsiaTheme="minorEastAsia" w:hAnsiTheme="minorHAnsi"/>
          <w:b w:val="false"/>
          <w:b w:val="false"/>
          <w:szCs w:val="22"/>
          <w:lang w:eastAsia="pl-PL"/>
        </w:rPr>
      </w:pPr>
      <w:hyperlink w:anchor="_Toc426106432">
        <w:r>
          <w:rPr>
            <w:webHidden/>
            <w:rStyle w:val="Czeindeksu"/>
          </w:rPr>
          <w:t>8.</w:t>
        </w:r>
        <w:r>
          <w:rPr>
            <w:rStyle w:val="Czeindeksu"/>
            <w:rFonts w:eastAsia="ＭＳ 明朝" w:cs="" w:cstheme="minorBidi" w:eastAsiaTheme="minorEastAsia"/>
            <w:b w:val="false"/>
            <w:szCs w:val="22"/>
            <w:lang w:eastAsia="pl-PL"/>
          </w:rPr>
          <w:tab/>
        </w:r>
        <w:r>
          <w:rPr>
            <w:rStyle w:val="Czeindeksu"/>
          </w:rPr>
          <w:t>Załączniki</w:t>
        </w:r>
        <w:r>
          <w:rPr>
            <w:webHidden/>
          </w:rPr>
          <w:fldChar w:fldCharType="begin"/>
        </w:r>
        <w:r>
          <w:rPr>
            <w:webHidden/>
          </w:rPr>
          <w:instrText>PAGEREF _Toc426106432 \h</w:instrText>
        </w:r>
        <w:r>
          <w:rPr>
            <w:webHidden/>
          </w:rPr>
          <w:fldChar w:fldCharType="separate"/>
        </w:r>
        <w:r>
          <w:rPr>
            <w:rStyle w:val="Czeindeksu"/>
            <w:vanish w:val="false"/>
          </w:rPr>
          <w:tab/>
          <w:t>13</w:t>
        </w:r>
        <w:r>
          <w:rPr>
            <w:webHidden/>
          </w:rPr>
          <w:fldChar w:fldCharType="end"/>
        </w:r>
      </w:hyperlink>
    </w:p>
    <w:p>
      <w:pPr>
        <w:pStyle w:val="Normal"/>
        <w:spacing w:lineRule="auto" w:line="240"/>
        <w:rPr>
          <w:rFonts w:cs="Calibri"/>
          <w:sz w:val="2"/>
        </w:rPr>
      </w:pPr>
      <w:r>
        <w:rPr>
          <w:rFonts w:cs="Calibri"/>
          <w:sz w:val="2"/>
        </w:rPr>
      </w:r>
      <w:r>
        <w:fldChar w:fldCharType="end"/>
      </w:r>
    </w:p>
    <w:p>
      <w:pPr>
        <w:pStyle w:val="Nagwek1"/>
        <w:numPr>
          <w:ilvl w:val="0"/>
          <w:numId w:val="0"/>
        </w:numPr>
        <w:tabs>
          <w:tab w:val="left" w:pos="708" w:leader="none"/>
        </w:tabs>
        <w:rPr/>
      </w:pPr>
      <w:bookmarkStart w:id="1" w:name="_Toc426106405"/>
      <w:bookmarkStart w:id="2" w:name="_Toc419469097"/>
      <w:bookmarkStart w:id="3" w:name="_Toc425944216"/>
      <w:bookmarkEnd w:id="1"/>
      <w:bookmarkEnd w:id="2"/>
      <w:bookmarkEnd w:id="3"/>
      <w:r>
        <w:rPr/>
        <w:t>Metryka dokumentu</w:t>
      </w:r>
    </w:p>
    <w:tbl>
      <w:tblPr>
        <w:tblW w:w="5000" w:type="pct"/>
        <w:jc w:val="center"/>
        <w:tblInd w:w="0" w:type="dxa"/>
        <w:tblBorders>
          <w:top w:val="single" w:sz="12" w:space="0" w:color="00000A"/>
          <w:left w:val="single" w:sz="12" w:space="0" w:color="00000A"/>
          <w:bottom w:val="single" w:sz="4" w:space="0" w:color="00000A"/>
          <w:right w:val="single" w:sz="6" w:space="0" w:color="00000A"/>
          <w:insideH w:val="single" w:sz="4" w:space="0" w:color="00000A"/>
          <w:insideV w:val="single" w:sz="6" w:space="0" w:color="00000A"/>
        </w:tblBorders>
        <w:tblCellMar>
          <w:top w:w="0" w:type="dxa"/>
          <w:left w:w="107" w:type="dxa"/>
          <w:bottom w:w="0" w:type="dxa"/>
          <w:right w:w="108" w:type="dxa"/>
        </w:tblCellMar>
        <w:tblLook w:noVBand="1" w:val="04a0" w:noHBand="0" w:lastColumn="0" w:firstColumn="1" w:lastRow="0" w:firstRow="1"/>
      </w:tblPr>
      <w:tblGrid>
        <w:gridCol w:w="1630"/>
        <w:gridCol w:w="5134"/>
        <w:gridCol w:w="3140"/>
      </w:tblGrid>
      <w:tr>
        <w:trPr>
          <w:trHeight w:val="799" w:hRule="atLeast"/>
        </w:trPr>
        <w:tc>
          <w:tcPr>
            <w:tcW w:w="6764" w:type="dxa"/>
            <w:gridSpan w:val="2"/>
            <w:tcBorders>
              <w:top w:val="single" w:sz="12" w:space="0" w:color="00000A"/>
              <w:left w:val="single" w:sz="12" w:space="0" w:color="00000A"/>
              <w:bottom w:val="single" w:sz="4" w:space="0" w:color="00000A"/>
              <w:right w:val="single" w:sz="6" w:space="0" w:color="00000A"/>
              <w:insideH w:val="single" w:sz="4" w:space="0" w:color="00000A"/>
              <w:insideV w:val="single" w:sz="6" w:space="0" w:color="00000A"/>
            </w:tcBorders>
            <w:shd w:fill="auto" w:val="clear"/>
            <w:tcMar>
              <w:left w:w="107" w:type="dxa"/>
            </w:tcMar>
            <w:vAlign w:val="center"/>
          </w:tcPr>
          <w:p>
            <w:pPr>
              <w:pStyle w:val="Normal"/>
              <w:spacing w:lineRule="auto" w:line="276" w:before="80" w:after="80"/>
              <w:ind w:left="851" w:hanging="709"/>
              <w:rPr>
                <w:rFonts w:cs="Calibri"/>
              </w:rPr>
            </w:pPr>
            <w:r>
              <w:rPr>
                <w:rFonts w:cs="Calibri"/>
              </w:rPr>
              <w:t>Tytuł: Specyfikacja techniczna interfejsu wymiany danych - PKK.</w:t>
            </w:r>
          </w:p>
        </w:tc>
        <w:tc>
          <w:tcPr>
            <w:tcW w:w="3140" w:type="dxa"/>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114" w:type="dxa"/>
            </w:tcMar>
            <w:vAlign w:val="center"/>
          </w:tcPr>
          <w:p>
            <w:pPr>
              <w:pStyle w:val="Normal"/>
              <w:spacing w:lineRule="auto" w:line="276" w:before="0" w:after="200"/>
              <w:jc w:val="left"/>
              <w:rPr>
                <w:lang w:eastAsia="en-US"/>
              </w:rPr>
            </w:pPr>
            <w:r>
              <w:rPr>
                <w:rFonts w:cs="Calibri"/>
                <w:lang w:eastAsia="en-US"/>
              </w:rPr>
              <w:t>Wersja: 1.0</w:t>
            </w:r>
          </w:p>
        </w:tc>
      </w:tr>
      <w:tr>
        <w:trPr>
          <w:trHeight w:val="799" w:hRule="atLeast"/>
        </w:trPr>
        <w:tc>
          <w:tcPr>
            <w:tcW w:w="6764" w:type="dxa"/>
            <w:gridSpan w:val="2"/>
            <w:tcBorders>
              <w:top w:val="single" w:sz="12" w:space="0" w:color="00000A"/>
              <w:left w:val="single" w:sz="12" w:space="0" w:color="00000A"/>
              <w:bottom w:val="single" w:sz="4" w:space="0" w:color="00000A"/>
              <w:right w:val="single" w:sz="6" w:space="0" w:color="00000A"/>
              <w:insideH w:val="single" w:sz="4" w:space="0" w:color="00000A"/>
              <w:insideV w:val="single" w:sz="6" w:space="0" w:color="00000A"/>
            </w:tcBorders>
            <w:shd w:fill="auto" w:val="clear"/>
            <w:tcMar>
              <w:left w:w="107" w:type="dxa"/>
            </w:tcMar>
            <w:vAlign w:val="center"/>
          </w:tcPr>
          <w:p>
            <w:pPr>
              <w:pStyle w:val="Normal"/>
              <w:spacing w:lineRule="auto" w:line="276" w:before="80" w:after="80"/>
              <w:ind w:left="851" w:hanging="709"/>
              <w:rPr>
                <w:rFonts w:cs="Calibri"/>
              </w:rPr>
            </w:pPr>
            <w:r>
              <w:rPr>
                <w:rFonts w:cs="Calibri"/>
              </w:rPr>
              <w:t xml:space="preserve">Opis: </w:t>
              <w:tab/>
              <w:t>Specyfikacja techniczna interfejsu wymiany danych z systemem CEPiK dla systemów zewnętrznych - PWPJ.</w:t>
            </w:r>
          </w:p>
        </w:tc>
        <w:tc>
          <w:tcPr>
            <w:tcW w:w="3140" w:type="dxa"/>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114" w:type="dxa"/>
            </w:tcMar>
          </w:tcPr>
          <w:p>
            <w:pPr>
              <w:pStyle w:val="Normal"/>
              <w:spacing w:lineRule="auto" w:line="276" w:before="0" w:after="200"/>
              <w:rPr>
                <w:lang w:eastAsia="en-US"/>
              </w:rPr>
            </w:pPr>
            <w:r>
              <w:rPr>
                <w:lang w:eastAsia="en-US"/>
              </w:rPr>
              <w:t>Data utworzenia: 2015-07-29</w:t>
            </w:r>
          </w:p>
        </w:tc>
      </w:tr>
      <w:tr>
        <w:trPr>
          <w:trHeight w:val="229" w:hRule="atLeast"/>
        </w:trPr>
        <w:tc>
          <w:tcPr>
            <w:tcW w:w="1630" w:type="dxa"/>
            <w:tcBorders>
              <w:top w:val="single" w:sz="4" w:space="0" w:color="00000A"/>
              <w:left w:val="single" w:sz="12" w:space="0" w:color="00000A"/>
              <w:bottom w:val="single" w:sz="4" w:space="0" w:color="00000A"/>
              <w:right w:val="single" w:sz="6" w:space="0" w:color="00000A"/>
              <w:insideH w:val="single" w:sz="4" w:space="0" w:color="00000A"/>
              <w:insideV w:val="single" w:sz="6" w:space="0" w:color="00000A"/>
            </w:tcBorders>
            <w:shd w:fill="auto" w:val="clear"/>
            <w:tcMar>
              <w:left w:w="107" w:type="dxa"/>
            </w:tcMar>
            <w:vAlign w:val="center"/>
          </w:tcPr>
          <w:p>
            <w:pPr>
              <w:pStyle w:val="Normal"/>
              <w:spacing w:lineRule="auto" w:line="276" w:before="80" w:after="80"/>
              <w:jc w:val="left"/>
              <w:rPr>
                <w:rFonts w:cs="Calibri"/>
                <w:lang w:val="en-GB"/>
              </w:rPr>
            </w:pPr>
            <w:r>
              <w:rPr>
                <w:rFonts w:cs="Calibri"/>
                <w:lang w:val="en-GB"/>
              </w:rPr>
              <w:t>Autor:</w:t>
            </w:r>
          </w:p>
        </w:tc>
        <w:tc>
          <w:tcPr>
            <w:tcW w:w="513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114" w:type="dxa"/>
            </w:tcMar>
            <w:vAlign w:val="center"/>
          </w:tcPr>
          <w:p>
            <w:pPr>
              <w:pStyle w:val="Normal"/>
              <w:spacing w:lineRule="auto" w:line="276" w:before="80" w:after="80"/>
              <w:jc w:val="left"/>
              <w:rPr>
                <w:rFonts w:cs="Calibri"/>
                <w:i/>
                <w:i/>
                <w:lang w:val="en-GB"/>
              </w:rPr>
            </w:pPr>
            <w:r>
              <w:rPr>
                <w:rFonts w:cs="Calibri"/>
                <w:i/>
                <w:lang w:val="en-GB"/>
              </w:rPr>
              <w:t>Centralny Ośrodek Informatyki</w:t>
            </w:r>
          </w:p>
        </w:tc>
        <w:tc>
          <w:tcPr>
            <w:tcW w:w="3140"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fill="auto" w:val="clear"/>
            <w:tcMar>
              <w:left w:w="114" w:type="dxa"/>
            </w:tcMar>
          </w:tcPr>
          <w:p>
            <w:pPr>
              <w:pStyle w:val="Normal"/>
              <w:spacing w:lineRule="auto" w:line="276" w:before="0" w:after="200"/>
              <w:rPr>
                <w:lang w:eastAsia="en-US"/>
              </w:rPr>
            </w:pPr>
            <w:r>
              <w:rPr>
                <w:lang w:eastAsia="en-US"/>
              </w:rPr>
              <w:t>Data wydruku: 2015-07-xx</w:t>
            </w:r>
          </w:p>
          <w:p>
            <w:pPr>
              <w:pStyle w:val="Normal"/>
              <w:spacing w:lineRule="auto" w:line="276" w:before="0" w:after="200"/>
              <w:jc w:val="left"/>
              <w:rPr>
                <w:lang w:eastAsia="en-US"/>
              </w:rPr>
            </w:pPr>
            <w:r>
              <w:rPr>
                <w:lang w:eastAsia="en-US"/>
              </w:rPr>
            </w:r>
          </w:p>
        </w:tc>
      </w:tr>
      <w:tr>
        <w:trPr>
          <w:trHeight w:val="229" w:hRule="atLeast"/>
        </w:trPr>
        <w:tc>
          <w:tcPr>
            <w:tcW w:w="9904" w:type="dxa"/>
            <w:gridSpan w:val="3"/>
            <w:tcBorders>
              <w:top w:val="single" w:sz="4" w:space="0" w:color="00000A"/>
              <w:left w:val="single" w:sz="12" w:space="0" w:color="00000A"/>
              <w:bottom w:val="single" w:sz="4" w:space="0" w:color="00000A"/>
              <w:right w:val="single" w:sz="12" w:space="0" w:color="00000A"/>
              <w:insideH w:val="single" w:sz="4" w:space="0" w:color="00000A"/>
              <w:insideV w:val="single" w:sz="12" w:space="0" w:color="00000A"/>
            </w:tcBorders>
            <w:shd w:fill="auto" w:val="clear"/>
            <w:tcMar>
              <w:left w:w="107" w:type="dxa"/>
            </w:tcMar>
            <w:vAlign w:val="center"/>
          </w:tcPr>
          <w:p>
            <w:pPr>
              <w:pStyle w:val="Normal"/>
              <w:spacing w:lineRule="auto" w:line="276" w:before="120" w:after="200"/>
              <w:jc w:val="left"/>
              <w:rPr>
                <w:lang w:eastAsia="en-US"/>
              </w:rPr>
            </w:pPr>
            <w:r>
              <w:rPr>
                <w:lang w:eastAsia="en-US"/>
              </w:rPr>
              <w:t xml:space="preserve">Sygnatura: </w:t>
            </w:r>
          </w:p>
        </w:tc>
      </w:tr>
      <w:tr>
        <w:trPr>
          <w:trHeight w:val="229" w:hRule="atLeast"/>
        </w:trPr>
        <w:tc>
          <w:tcPr>
            <w:tcW w:w="1630" w:type="dxa"/>
            <w:tcBorders>
              <w:top w:val="single" w:sz="4" w:space="0" w:color="00000A"/>
              <w:left w:val="single" w:sz="12" w:space="0" w:color="00000A"/>
              <w:bottom w:val="single" w:sz="12" w:space="0" w:color="00000A"/>
              <w:right w:val="single" w:sz="6" w:space="0" w:color="00000A"/>
              <w:insideH w:val="single" w:sz="12" w:space="0" w:color="00000A"/>
              <w:insideV w:val="single" w:sz="6" w:space="0" w:color="00000A"/>
            </w:tcBorders>
            <w:shd w:fill="auto" w:val="clear"/>
            <w:tcMar>
              <w:left w:w="107" w:type="dxa"/>
            </w:tcMar>
            <w:vAlign w:val="center"/>
          </w:tcPr>
          <w:p>
            <w:pPr>
              <w:pStyle w:val="Normal"/>
              <w:spacing w:lineRule="auto" w:line="276" w:before="80" w:after="200"/>
              <w:jc w:val="left"/>
              <w:rPr>
                <w:rFonts w:cs="Calibri"/>
                <w:lang w:eastAsia="en-US"/>
              </w:rPr>
            </w:pPr>
            <w:r>
              <w:rPr>
                <w:rFonts w:cs="Calibri"/>
                <w:lang w:eastAsia="en-US"/>
              </w:rPr>
              <w:t>Załączniki:</w:t>
            </w:r>
          </w:p>
        </w:tc>
        <w:tc>
          <w:tcPr>
            <w:tcW w:w="8274" w:type="dxa"/>
            <w:gridSpan w:val="2"/>
            <w:tcBorders>
              <w:top w:val="single" w:sz="6" w:space="0" w:color="00000A"/>
              <w:left w:val="single" w:sz="6" w:space="0" w:color="00000A"/>
              <w:bottom w:val="single" w:sz="12" w:space="0" w:color="00000A"/>
              <w:right w:val="single" w:sz="12" w:space="0" w:color="00000A"/>
              <w:insideH w:val="single" w:sz="12" w:space="0" w:color="00000A"/>
              <w:insideV w:val="single" w:sz="12" w:space="0" w:color="00000A"/>
            </w:tcBorders>
            <w:shd w:fill="auto" w:val="clear"/>
            <w:tcMar>
              <w:left w:w="114" w:type="dxa"/>
            </w:tcMar>
            <w:vAlign w:val="center"/>
          </w:tcPr>
          <w:p>
            <w:pPr>
              <w:pStyle w:val="Normal"/>
              <w:spacing w:lineRule="auto" w:line="276" w:before="0" w:after="200"/>
              <w:contextualSpacing/>
              <w:rPr/>
            </w:pPr>
            <w:r>
              <w:rPr>
                <w:lang w:eastAsia="zh-CN"/>
              </w:rPr>
              <w:t>Plik „pkk-pwpj.zip”, zawartość określona jest w p. 8. dokumentu.</w:t>
            </w:r>
          </w:p>
        </w:tc>
      </w:tr>
    </w:tbl>
    <w:p>
      <w:pPr>
        <w:pStyle w:val="Normal"/>
        <w:rPr/>
      </w:pPr>
      <w:r>
        <w:rPr/>
      </w:r>
    </w:p>
    <w:p>
      <w:pPr>
        <w:pStyle w:val="Nagwek1"/>
        <w:numPr>
          <w:ilvl w:val="0"/>
          <w:numId w:val="0"/>
        </w:numPr>
        <w:tabs>
          <w:tab w:val="left" w:pos="708" w:leader="none"/>
        </w:tabs>
        <w:rPr/>
      </w:pPr>
      <w:bookmarkStart w:id="4" w:name="_Toc426106406"/>
      <w:bookmarkStart w:id="5" w:name="_Toc419469098"/>
      <w:bookmarkStart w:id="6" w:name="_Toc425944217"/>
      <w:bookmarkEnd w:id="4"/>
      <w:bookmarkEnd w:id="5"/>
      <w:bookmarkEnd w:id="6"/>
      <w:r>
        <w:rPr/>
        <w:t>Historia zmian</w:t>
      </w:r>
    </w:p>
    <w:tbl>
      <w:tblPr>
        <w:tblW w:w="5000" w:type="pct"/>
        <w:jc w:val="left"/>
        <w:tblInd w:w="0"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0" w:type="dxa"/>
          <w:left w:w="110" w:type="dxa"/>
          <w:bottom w:w="0" w:type="dxa"/>
          <w:right w:w="108" w:type="dxa"/>
        </w:tblCellMar>
        <w:tblLook w:noVBand="0" w:val="01e0" w:noHBand="0" w:lastColumn="1" w:firstColumn="1" w:lastRow="1" w:firstRow="1"/>
      </w:tblPr>
      <w:tblGrid>
        <w:gridCol w:w="1505"/>
        <w:gridCol w:w="1533"/>
        <w:gridCol w:w="3454"/>
        <w:gridCol w:w="3411"/>
      </w:tblGrid>
      <w:tr>
        <w:trPr>
          <w:tblHeader w:val="true"/>
          <w:trHeight w:val="454" w:hRule="exact"/>
          <w:cantSplit w:val="true"/>
        </w:trPr>
        <w:tc>
          <w:tcPr>
            <w:tcW w:w="1505"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63849B" w:val="clear"/>
            <w:tcMar>
              <w:left w:w="110" w:type="dxa"/>
            </w:tcMar>
            <w:vAlign w:val="center"/>
          </w:tcPr>
          <w:p>
            <w:pPr>
              <w:pStyle w:val="Normal"/>
              <w:spacing w:lineRule="auto" w:line="276" w:before="80" w:after="200"/>
              <w:ind w:left="221" w:right="136" w:hanging="0"/>
              <w:jc w:val="center"/>
              <w:rPr>
                <w:rFonts w:cs="Calibri"/>
                <w:b/>
                <w:b/>
                <w:color w:val="FFFFFF"/>
                <w:sz w:val="20"/>
                <w:szCs w:val="20"/>
                <w:lang w:eastAsia="en-US"/>
              </w:rPr>
            </w:pPr>
            <w:r>
              <w:rPr>
                <w:rFonts w:cs="Calibri"/>
                <w:b/>
                <w:color w:val="FFFFFF"/>
                <w:sz w:val="20"/>
                <w:szCs w:val="20"/>
                <w:lang w:eastAsia="en-US"/>
              </w:rPr>
              <w:t>Wersja</w:t>
            </w:r>
          </w:p>
        </w:tc>
        <w:tc>
          <w:tcPr>
            <w:tcW w:w="1533"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63849B" w:val="clear"/>
            <w:tcMar>
              <w:left w:w="110" w:type="dxa"/>
            </w:tcMar>
            <w:vAlign w:val="center"/>
          </w:tcPr>
          <w:p>
            <w:pPr>
              <w:pStyle w:val="Normal"/>
              <w:spacing w:lineRule="auto" w:line="276" w:before="80" w:after="200"/>
              <w:ind w:left="221" w:right="136" w:hanging="0"/>
              <w:jc w:val="center"/>
              <w:rPr>
                <w:rFonts w:cs="Calibri"/>
                <w:b/>
                <w:b/>
                <w:color w:val="FFFFFF"/>
                <w:sz w:val="20"/>
                <w:szCs w:val="20"/>
                <w:lang w:eastAsia="en-US"/>
              </w:rPr>
            </w:pPr>
            <w:r>
              <w:rPr>
                <w:rFonts w:cs="Calibri"/>
                <w:b/>
                <w:color w:val="FFFFFF"/>
                <w:sz w:val="20"/>
                <w:szCs w:val="20"/>
                <w:lang w:eastAsia="en-US"/>
              </w:rPr>
              <w:t>Data</w:t>
            </w:r>
          </w:p>
        </w:tc>
        <w:tc>
          <w:tcPr>
            <w:tcW w:w="3454"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63849B" w:val="clear"/>
            <w:tcMar>
              <w:left w:w="110" w:type="dxa"/>
            </w:tcMar>
            <w:vAlign w:val="center"/>
          </w:tcPr>
          <w:p>
            <w:pPr>
              <w:pStyle w:val="Normal"/>
              <w:spacing w:lineRule="auto" w:line="276" w:before="80" w:after="200"/>
              <w:ind w:left="221" w:right="136" w:hanging="0"/>
              <w:jc w:val="center"/>
              <w:rPr>
                <w:rFonts w:cs="Calibri"/>
                <w:b/>
                <w:b/>
                <w:color w:val="FFFFFF"/>
                <w:sz w:val="20"/>
                <w:szCs w:val="20"/>
                <w:lang w:eastAsia="en-US"/>
              </w:rPr>
            </w:pPr>
            <w:r>
              <w:rPr>
                <w:rFonts w:cs="Calibri"/>
                <w:b/>
                <w:color w:val="FFFFFF"/>
                <w:sz w:val="20"/>
                <w:szCs w:val="20"/>
                <w:lang w:eastAsia="en-US"/>
              </w:rPr>
              <w:t>Autorzy</w:t>
            </w:r>
          </w:p>
        </w:tc>
        <w:tc>
          <w:tcPr>
            <w:tcW w:w="3411"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63849B" w:val="clear"/>
            <w:tcMar>
              <w:left w:w="110" w:type="dxa"/>
            </w:tcMar>
            <w:vAlign w:val="center"/>
          </w:tcPr>
          <w:p>
            <w:pPr>
              <w:pStyle w:val="Normal"/>
              <w:spacing w:lineRule="auto" w:line="276" w:before="80" w:after="200"/>
              <w:ind w:left="221" w:right="136" w:hanging="0"/>
              <w:jc w:val="center"/>
              <w:rPr>
                <w:rFonts w:cs="Calibri"/>
                <w:b/>
                <w:b/>
                <w:color w:val="FFFFFF"/>
                <w:lang w:eastAsia="en-US"/>
              </w:rPr>
            </w:pPr>
            <w:r>
              <w:rPr>
                <w:rFonts w:cs="Calibri"/>
                <w:b/>
                <w:color w:val="FFFFFF"/>
                <w:lang w:eastAsia="en-US"/>
              </w:rPr>
              <w:t>Opis zmian</w:t>
            </w:r>
          </w:p>
        </w:tc>
      </w:tr>
      <w:tr>
        <w:trPr>
          <w:trHeight w:val="361" w:hRule="atLeast"/>
        </w:trPr>
        <w:tc>
          <w:tcPr>
            <w:tcW w:w="1505"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fill="auto" w:val="clear"/>
            <w:tcMar>
              <w:left w:w="110" w:type="dxa"/>
            </w:tcMar>
          </w:tcPr>
          <w:p>
            <w:pPr>
              <w:pStyle w:val="Normal"/>
              <w:spacing w:lineRule="auto" w:line="240" w:before="60" w:after="60"/>
              <w:jc w:val="center"/>
              <w:rPr>
                <w:sz w:val="20"/>
                <w:szCs w:val="20"/>
              </w:rPr>
            </w:pPr>
            <w:r>
              <w:rPr>
                <w:sz w:val="20"/>
                <w:szCs w:val="20"/>
              </w:rPr>
              <w:t>1.0</w:t>
            </w:r>
          </w:p>
        </w:tc>
        <w:tc>
          <w:tcPr>
            <w:tcW w:w="1533"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fill="auto" w:val="clear"/>
            <w:tcMar>
              <w:left w:w="110" w:type="dxa"/>
            </w:tcMar>
          </w:tcPr>
          <w:p>
            <w:pPr>
              <w:pStyle w:val="Normal"/>
              <w:spacing w:lineRule="auto" w:line="240" w:before="60" w:after="60"/>
              <w:jc w:val="center"/>
              <w:rPr>
                <w:sz w:val="20"/>
                <w:szCs w:val="20"/>
              </w:rPr>
            </w:pPr>
            <w:r>
              <w:rPr>
                <w:sz w:val="20"/>
                <w:szCs w:val="20"/>
              </w:rPr>
              <w:t>2015-07-29</w:t>
            </w:r>
          </w:p>
        </w:tc>
        <w:tc>
          <w:tcPr>
            <w:tcW w:w="3454"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fill="auto" w:val="clear"/>
            <w:tcMar>
              <w:left w:w="110" w:type="dxa"/>
            </w:tcMar>
          </w:tcPr>
          <w:p>
            <w:pPr>
              <w:pStyle w:val="Normal"/>
              <w:spacing w:lineRule="auto" w:line="240" w:before="60" w:after="60"/>
              <w:jc w:val="left"/>
              <w:rPr>
                <w:rFonts w:cs="NeoSansPro-Light"/>
                <w:sz w:val="20"/>
                <w:szCs w:val="20"/>
              </w:rPr>
            </w:pPr>
            <w:r>
              <w:rPr>
                <w:rFonts w:cs="NeoSansPro-Light"/>
                <w:sz w:val="20"/>
                <w:szCs w:val="20"/>
              </w:rPr>
              <w:t>Grzegorz Krupiński</w:t>
            </w:r>
          </w:p>
          <w:p>
            <w:pPr>
              <w:pStyle w:val="Normal"/>
              <w:spacing w:lineRule="auto" w:line="240" w:before="60" w:after="60"/>
              <w:jc w:val="left"/>
              <w:rPr>
                <w:rFonts w:cs="NeoSansPro-Light"/>
                <w:sz w:val="20"/>
                <w:szCs w:val="20"/>
              </w:rPr>
            </w:pPr>
            <w:r>
              <w:rPr>
                <w:rFonts w:cs="NeoSansPro-Light"/>
                <w:sz w:val="20"/>
                <w:szCs w:val="20"/>
              </w:rPr>
              <w:t>Marcin Dłubakowski</w:t>
            </w:r>
          </w:p>
          <w:p>
            <w:pPr>
              <w:pStyle w:val="Normal"/>
              <w:spacing w:lineRule="auto" w:line="240" w:before="60" w:after="60"/>
              <w:jc w:val="left"/>
              <w:rPr>
                <w:rFonts w:cs="NeoSansPro-Light"/>
                <w:sz w:val="20"/>
                <w:szCs w:val="20"/>
              </w:rPr>
            </w:pPr>
            <w:r>
              <w:rPr>
                <w:rFonts w:cs="NeoSansPro-Light"/>
                <w:sz w:val="20"/>
                <w:szCs w:val="20"/>
              </w:rPr>
              <w:t>Adam Kołaciński</w:t>
            </w:r>
          </w:p>
          <w:p>
            <w:pPr>
              <w:pStyle w:val="Normal"/>
              <w:spacing w:lineRule="auto" w:line="240" w:before="60" w:after="60"/>
              <w:jc w:val="left"/>
              <w:rPr>
                <w:rFonts w:cs="NeoSansPro-Light"/>
                <w:sz w:val="20"/>
                <w:szCs w:val="20"/>
              </w:rPr>
            </w:pPr>
            <w:r>
              <w:rPr>
                <w:rFonts w:cs="NeoSansPro-Light"/>
                <w:sz w:val="20"/>
                <w:szCs w:val="20"/>
              </w:rPr>
              <w:t>Radosław Starczynowski</w:t>
            </w:r>
          </w:p>
          <w:p>
            <w:pPr>
              <w:pStyle w:val="Normal"/>
              <w:spacing w:lineRule="auto" w:line="240" w:before="60" w:after="60"/>
              <w:jc w:val="left"/>
              <w:rPr>
                <w:rFonts w:cs="NeoSansPro-Light"/>
                <w:sz w:val="20"/>
                <w:szCs w:val="20"/>
              </w:rPr>
            </w:pPr>
            <w:r>
              <w:rPr>
                <w:rFonts w:cs="NeoSansPro-Light"/>
                <w:sz w:val="20"/>
                <w:szCs w:val="20"/>
              </w:rPr>
              <w:t>Magda Gałach</w:t>
            </w:r>
          </w:p>
        </w:tc>
        <w:tc>
          <w:tcPr>
            <w:tcW w:w="3411"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fill="auto" w:val="clear"/>
            <w:tcMar>
              <w:left w:w="110" w:type="dxa"/>
            </w:tcMar>
          </w:tcPr>
          <w:p>
            <w:pPr>
              <w:pStyle w:val="Normal"/>
              <w:spacing w:lineRule="auto" w:line="240" w:before="60" w:after="60"/>
              <w:rPr>
                <w:sz w:val="20"/>
                <w:szCs w:val="20"/>
              </w:rPr>
            </w:pPr>
            <w:r>
              <w:rPr>
                <w:sz w:val="20"/>
                <w:szCs w:val="20"/>
              </w:rPr>
              <w:t>Utworzenie dokumentu</w:t>
            </w:r>
          </w:p>
        </w:tc>
      </w:tr>
      <w:tr>
        <w:trPr>
          <w:trHeight w:val="387" w:hRule="atLeast"/>
        </w:trPr>
        <w:tc>
          <w:tcPr>
            <w:tcW w:w="1505"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center"/>
              <w:rPr>
                <w:sz w:val="20"/>
                <w:szCs w:val="20"/>
              </w:rPr>
            </w:pPr>
            <w:r>
              <w:rPr>
                <w:sz w:val="20"/>
                <w:szCs w:val="20"/>
              </w:rPr>
              <w:t>1.1</w:t>
            </w:r>
          </w:p>
        </w:tc>
        <w:tc>
          <w:tcPr>
            <w:tcW w:w="1533"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center"/>
              <w:rPr>
                <w:sz w:val="20"/>
                <w:szCs w:val="20"/>
              </w:rPr>
            </w:pPr>
            <w:r>
              <w:rPr>
                <w:sz w:val="20"/>
                <w:szCs w:val="20"/>
              </w:rPr>
              <w:t>2015-07-31</w:t>
            </w:r>
          </w:p>
        </w:tc>
        <w:tc>
          <w:tcPr>
            <w:tcW w:w="3454"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left"/>
              <w:rPr>
                <w:rFonts w:cs="NeoSansPro-Light"/>
                <w:sz w:val="20"/>
                <w:szCs w:val="20"/>
              </w:rPr>
            </w:pPr>
            <w:r>
              <w:rPr>
                <w:rFonts w:cs="NeoSansPro-Light"/>
                <w:sz w:val="20"/>
                <w:szCs w:val="20"/>
              </w:rPr>
              <w:t>Adam Kołaciński</w:t>
            </w:r>
          </w:p>
        </w:tc>
        <w:tc>
          <w:tcPr>
            <w:tcW w:w="3411"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left"/>
              <w:rPr>
                <w:sz w:val="20"/>
                <w:szCs w:val="20"/>
              </w:rPr>
            </w:pPr>
            <w:r>
              <w:rPr>
                <w:sz w:val="20"/>
                <w:szCs w:val="20"/>
              </w:rPr>
              <w:t>Aktualizacja dokumentu</w:t>
            </w:r>
          </w:p>
        </w:tc>
      </w:tr>
      <w:tr>
        <w:trPr>
          <w:trHeight w:val="387" w:hRule="atLeast"/>
        </w:trPr>
        <w:tc>
          <w:tcPr>
            <w:tcW w:w="1505"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center"/>
              <w:rPr>
                <w:sz w:val="20"/>
                <w:szCs w:val="20"/>
              </w:rPr>
            </w:pPr>
            <w:r>
              <w:rPr>
                <w:sz w:val="20"/>
                <w:szCs w:val="20"/>
              </w:rPr>
            </w:r>
          </w:p>
        </w:tc>
        <w:tc>
          <w:tcPr>
            <w:tcW w:w="1533"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center"/>
              <w:rPr>
                <w:sz w:val="20"/>
                <w:szCs w:val="20"/>
              </w:rPr>
            </w:pPr>
            <w:r>
              <w:rPr>
                <w:sz w:val="20"/>
                <w:szCs w:val="20"/>
              </w:rPr>
            </w:r>
          </w:p>
        </w:tc>
        <w:tc>
          <w:tcPr>
            <w:tcW w:w="3454"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left"/>
              <w:rPr>
                <w:sz w:val="20"/>
                <w:szCs w:val="20"/>
              </w:rPr>
            </w:pPr>
            <w:r>
              <w:rPr>
                <w:sz w:val="20"/>
                <w:szCs w:val="20"/>
              </w:rPr>
            </w:r>
          </w:p>
        </w:tc>
        <w:tc>
          <w:tcPr>
            <w:tcW w:w="3411"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left"/>
              <w:rPr>
                <w:sz w:val="20"/>
                <w:szCs w:val="20"/>
              </w:rPr>
            </w:pPr>
            <w:r>
              <w:rPr>
                <w:sz w:val="20"/>
                <w:szCs w:val="20"/>
              </w:rPr>
            </w:r>
          </w:p>
        </w:tc>
      </w:tr>
      <w:tr>
        <w:trPr>
          <w:trHeight w:val="387" w:hRule="atLeast"/>
        </w:trPr>
        <w:tc>
          <w:tcPr>
            <w:tcW w:w="1505"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center"/>
              <w:rPr>
                <w:sz w:val="20"/>
                <w:szCs w:val="20"/>
              </w:rPr>
            </w:pPr>
            <w:r>
              <w:rPr>
                <w:sz w:val="20"/>
                <w:szCs w:val="20"/>
              </w:rPr>
            </w:r>
          </w:p>
        </w:tc>
        <w:tc>
          <w:tcPr>
            <w:tcW w:w="1533"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center"/>
              <w:rPr>
                <w:sz w:val="20"/>
                <w:szCs w:val="20"/>
              </w:rPr>
            </w:pPr>
            <w:r>
              <w:rPr>
                <w:sz w:val="20"/>
                <w:szCs w:val="20"/>
              </w:rPr>
            </w:r>
          </w:p>
        </w:tc>
        <w:tc>
          <w:tcPr>
            <w:tcW w:w="3454"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left"/>
              <w:rPr>
                <w:sz w:val="20"/>
                <w:szCs w:val="20"/>
              </w:rPr>
            </w:pPr>
            <w:r>
              <w:rPr>
                <w:sz w:val="20"/>
                <w:szCs w:val="20"/>
              </w:rPr>
            </w:r>
          </w:p>
        </w:tc>
        <w:tc>
          <w:tcPr>
            <w:tcW w:w="3411" w:type="dxa"/>
            <w:tcBorders>
              <w:top w:val="single" w:sz="2" w:space="0" w:color="00000A"/>
              <w:left w:val="single" w:sz="2" w:space="0" w:color="00000A"/>
              <w:bottom w:val="single" w:sz="2" w:space="0" w:color="00000A"/>
              <w:right w:val="single" w:sz="2" w:space="0" w:color="00000A"/>
              <w:insideH w:val="single" w:sz="2" w:space="0" w:color="00000A"/>
              <w:insideV w:val="single" w:sz="2" w:space="0" w:color="00000A"/>
            </w:tcBorders>
            <w:shd w:color="auto" w:fill="CCECFF" w:val="clear"/>
            <w:tcMar>
              <w:left w:w="110" w:type="dxa"/>
            </w:tcMar>
            <w:vAlign w:val="center"/>
          </w:tcPr>
          <w:p>
            <w:pPr>
              <w:pStyle w:val="Normal"/>
              <w:spacing w:lineRule="auto" w:line="240" w:before="60" w:after="60"/>
              <w:jc w:val="left"/>
              <w:rPr>
                <w:sz w:val="20"/>
                <w:szCs w:val="20"/>
              </w:rPr>
            </w:pPr>
            <w:r>
              <w:rPr>
                <w:sz w:val="20"/>
                <w:szCs w:val="20"/>
              </w:rPr>
            </w:r>
          </w:p>
        </w:tc>
      </w:tr>
    </w:tbl>
    <w:p>
      <w:pPr>
        <w:pStyle w:val="Nagwek1"/>
        <w:numPr>
          <w:ilvl w:val="0"/>
          <w:numId w:val="0"/>
        </w:numPr>
        <w:tabs>
          <w:tab w:val="left" w:pos="708" w:leader="none"/>
        </w:tabs>
        <w:ind w:left="567" w:hanging="567"/>
        <w:rPr/>
      </w:pPr>
      <w:bookmarkStart w:id="7" w:name="_Toc426106407"/>
      <w:bookmarkStart w:id="8" w:name="_Toc419469099"/>
      <w:bookmarkStart w:id="9" w:name="_Toc425944218"/>
      <w:bookmarkEnd w:id="7"/>
      <w:bookmarkEnd w:id="8"/>
      <w:bookmarkEnd w:id="9"/>
      <w:r>
        <w:rPr/>
        <w:t>Słownik podstawowych pojęć</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noVBand="0" w:val="00a0" w:noHBand="0" w:lastColumn="0" w:firstColumn="1" w:lastRow="0" w:firstRow="1"/>
      </w:tblPr>
      <w:tblGrid>
        <w:gridCol w:w="2902"/>
        <w:gridCol w:w="7001"/>
      </w:tblGrid>
      <w:tr>
        <w:trPr>
          <w:tblHeader w:val="true"/>
          <w:trHeight w:val="454" w:hRule="exact"/>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507B9E" w:val="clear"/>
            <w:tcMar>
              <w:left w:w="108" w:type="dxa"/>
            </w:tcMar>
            <w:vAlign w:val="center"/>
          </w:tcPr>
          <w:p>
            <w:pPr>
              <w:pStyle w:val="Komrkanagwek"/>
              <w:spacing w:before="80" w:after="80"/>
              <w:jc w:val="both"/>
              <w:rPr>
                <w:rFonts w:cs="Calibri"/>
                <w:sz w:val="22"/>
                <w:szCs w:val="22"/>
                <w:lang w:eastAsia="pl-PL"/>
              </w:rPr>
            </w:pPr>
            <w:r>
              <w:rPr>
                <w:rFonts w:cs="Calibri"/>
                <w:sz w:val="22"/>
                <w:szCs w:val="22"/>
                <w:lang w:eastAsia="pl-PL"/>
              </w:rPr>
              <w:t>Nazwa / skrót</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507B9E" w:val="clear"/>
            <w:tcMar>
              <w:left w:w="108" w:type="dxa"/>
            </w:tcMar>
            <w:vAlign w:val="center"/>
          </w:tcPr>
          <w:p>
            <w:pPr>
              <w:pStyle w:val="Komrkanagwek"/>
              <w:spacing w:before="80" w:after="80"/>
              <w:ind w:left="221" w:right="175" w:hanging="0"/>
              <w:jc w:val="both"/>
              <w:rPr>
                <w:rFonts w:cs="Calibri"/>
                <w:sz w:val="22"/>
                <w:szCs w:val="22"/>
                <w:lang w:eastAsia="pl-PL"/>
              </w:rPr>
            </w:pPr>
            <w:r>
              <w:rPr>
                <w:rFonts w:cs="Calibri"/>
                <w:sz w:val="22"/>
                <w:szCs w:val="22"/>
                <w:lang w:eastAsia="pl-PL"/>
              </w:rPr>
              <w:t>Opis</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vAlign w:val="center"/>
          </w:tcPr>
          <w:p>
            <w:pPr>
              <w:pStyle w:val="Tabelatre"/>
              <w:spacing w:before="60" w:after="60"/>
              <w:rPr>
                <w:rFonts w:ascii="Verdana" w:hAnsi="Verdana"/>
                <w:sz w:val="16"/>
                <w:szCs w:val="16"/>
              </w:rPr>
            </w:pPr>
            <w:r>
              <w:rPr>
                <w:rFonts w:ascii="Verdana" w:hAnsi="Verdana"/>
                <w:sz w:val="16"/>
                <w:szCs w:val="16"/>
              </w:rPr>
              <w:t>Identyfikator systemowy transakcji</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vAlign w:val="center"/>
          </w:tcPr>
          <w:p>
            <w:pPr>
              <w:pStyle w:val="Tabelatre"/>
              <w:spacing w:before="60" w:after="60"/>
              <w:rPr>
                <w:rFonts w:ascii="Verdana" w:hAnsi="Verdana"/>
                <w:sz w:val="16"/>
                <w:szCs w:val="16"/>
              </w:rPr>
            </w:pPr>
            <w:r>
              <w:rPr>
                <w:rFonts w:ascii="Verdana" w:hAnsi="Verdana"/>
                <w:sz w:val="16"/>
                <w:szCs w:val="16"/>
              </w:rPr>
              <w:t>Unikalny identyfikator w ramach instytucji nadawany każdemu komunikatowi wysyłanemu do SI CEPiK przez system informatyczny instytucji zewnętrznej.</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elatre"/>
              <w:spacing w:before="60" w:after="60"/>
              <w:rPr>
                <w:rFonts w:ascii="Verdana" w:hAnsi="Verdana"/>
                <w:sz w:val="16"/>
                <w:szCs w:val="16"/>
              </w:rPr>
            </w:pPr>
            <w:r>
              <w:rPr>
                <w:rFonts w:ascii="Verdana" w:hAnsi="Verdana"/>
                <w:sz w:val="16"/>
                <w:szCs w:val="16"/>
              </w:rPr>
              <w:t>Magistrala serwisowa</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Tabelatre"/>
              <w:spacing w:before="60" w:after="60"/>
              <w:rPr>
                <w:rFonts w:ascii="Verdana" w:hAnsi="Verdana"/>
                <w:sz w:val="16"/>
                <w:szCs w:val="16"/>
              </w:rPr>
            </w:pPr>
            <w:r>
              <w:rPr>
                <w:rFonts w:ascii="Verdana" w:hAnsi="Verdana"/>
                <w:sz w:val="16"/>
                <w:szCs w:val="16"/>
              </w:rPr>
              <w:t>Rozwiązanie w warstwie pośredniczącej w dostępie do usług w architekturze zorientowanej na usługi</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vAlign w:val="center"/>
          </w:tcPr>
          <w:p>
            <w:pPr>
              <w:pStyle w:val="Tabelatre"/>
              <w:spacing w:before="60" w:after="60"/>
              <w:rPr>
                <w:rFonts w:ascii="Verdana" w:hAnsi="Verdana"/>
                <w:sz w:val="16"/>
                <w:szCs w:val="16"/>
              </w:rPr>
            </w:pPr>
            <w:r>
              <w:rPr>
                <w:rFonts w:ascii="Verdana" w:hAnsi="Verdana"/>
                <w:sz w:val="16"/>
                <w:szCs w:val="16"/>
              </w:rPr>
              <w:t>SOAP</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vAlign w:val="center"/>
          </w:tcPr>
          <w:p>
            <w:pPr>
              <w:pStyle w:val="Tabelatre"/>
              <w:spacing w:before="60" w:after="60"/>
              <w:rPr>
                <w:color w:val="000000" w:themeColor="text1"/>
                <w:sz w:val="16"/>
                <w:szCs w:val="16"/>
              </w:rPr>
            </w:pPr>
            <w:r>
              <w:rPr>
                <w:rFonts w:ascii="Verdana" w:hAnsi="Verdana"/>
                <w:color w:val="000000" w:themeColor="text1"/>
                <w:sz w:val="16"/>
                <w:szCs w:val="16"/>
              </w:rPr>
              <w:t>Simple Object Access Protocol – protokół zdalnego dostępu do obiektów bazujący na wykorzystaniu XML (</w:t>
            </w:r>
            <w:r>
              <w:rPr>
                <w:color w:val="000000" w:themeColor="text1"/>
                <w:sz w:val="16"/>
                <w:szCs w:val="16"/>
              </w:rPr>
              <w:t>protokół komunikacyjny, wykorzystujący XML do kodowania wywołań jak również wykorzystania  protokołu HTTP do ich przenoszenia, jest standardem W3C.</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elatre"/>
              <w:spacing w:before="60" w:after="60"/>
              <w:rPr>
                <w:rFonts w:ascii="Verdana" w:hAnsi="Verdana"/>
                <w:sz w:val="16"/>
                <w:szCs w:val="16"/>
              </w:rPr>
            </w:pPr>
            <w:r>
              <w:rPr>
                <w:rFonts w:ascii="Verdana" w:hAnsi="Verdana"/>
                <w:sz w:val="16"/>
                <w:szCs w:val="16"/>
              </w:rPr>
              <w:t>System Centralny</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elatre"/>
              <w:spacing w:before="60" w:after="60"/>
              <w:rPr>
                <w:rFonts w:ascii="Verdana" w:hAnsi="Verdana"/>
                <w:sz w:val="16"/>
                <w:szCs w:val="16"/>
              </w:rPr>
            </w:pPr>
            <w:r>
              <w:rPr>
                <w:rFonts w:ascii="Verdana" w:hAnsi="Verdana"/>
                <w:sz w:val="16"/>
                <w:szCs w:val="16"/>
              </w:rPr>
              <w:t xml:space="preserve">System Informatyczny Centralnej Ewidencji Pojazdów i Kierowców (SI CEPiK). </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tcPr>
          <w:p>
            <w:pPr>
              <w:pStyle w:val="Tabelatre"/>
              <w:spacing w:before="60" w:after="60"/>
              <w:rPr>
                <w:rFonts w:ascii="Verdana" w:hAnsi="Verdana"/>
                <w:sz w:val="16"/>
                <w:szCs w:val="16"/>
              </w:rPr>
            </w:pPr>
            <w:r>
              <w:rPr>
                <w:rFonts w:ascii="Verdana" w:hAnsi="Verdana"/>
                <w:sz w:val="16"/>
                <w:szCs w:val="16"/>
              </w:rPr>
              <w:t>Systemy zewnętrzne</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tcPr>
          <w:p>
            <w:pPr>
              <w:pStyle w:val="Tabelatre"/>
              <w:spacing w:before="60" w:after="60"/>
              <w:rPr>
                <w:rFonts w:ascii="Verdana" w:hAnsi="Verdana"/>
                <w:sz w:val="16"/>
                <w:szCs w:val="16"/>
              </w:rPr>
            </w:pPr>
            <w:r>
              <w:rPr>
                <w:rFonts w:ascii="Verdana" w:hAnsi="Verdana"/>
                <w:sz w:val="16"/>
                <w:szCs w:val="16"/>
              </w:rPr>
              <w:t>Autonomiczne systemy informatyczne wykorzystywane przez instytucje, uprawnione do komunikowania się z Systemem Centralnym.</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elatre"/>
              <w:spacing w:before="60" w:after="60"/>
              <w:rPr>
                <w:rFonts w:ascii="Verdana" w:hAnsi="Verdana"/>
                <w:sz w:val="16"/>
                <w:szCs w:val="16"/>
              </w:rPr>
            </w:pPr>
            <w:r>
              <w:rPr>
                <w:rFonts w:ascii="Verdana" w:hAnsi="Verdana"/>
                <w:sz w:val="16"/>
                <w:szCs w:val="16"/>
              </w:rPr>
              <w:t>WSDL</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elatre"/>
              <w:spacing w:before="60" w:after="60"/>
              <w:rPr>
                <w:rFonts w:ascii="Verdana" w:hAnsi="Verdana"/>
                <w:sz w:val="16"/>
                <w:szCs w:val="16"/>
                <w:lang w:val="en-US"/>
              </w:rPr>
            </w:pPr>
            <w:r>
              <w:rPr>
                <w:rFonts w:ascii="Verdana" w:hAnsi="Verdana"/>
                <w:sz w:val="16"/>
                <w:szCs w:val="16"/>
                <w:lang w:val="en-US"/>
              </w:rPr>
              <w:t>Web Service Definition Language – plik definicji usługi sieciowej.</w:t>
            </w:r>
          </w:p>
        </w:tc>
      </w:tr>
      <w:tr>
        <w:trPr>
          <w:cantSplit w:val="true"/>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tcPr>
          <w:p>
            <w:pPr>
              <w:pStyle w:val="Tabelatre"/>
              <w:spacing w:before="60" w:after="60"/>
              <w:rPr>
                <w:rFonts w:ascii="Verdana" w:hAnsi="Verdana"/>
                <w:sz w:val="16"/>
                <w:szCs w:val="16"/>
              </w:rPr>
            </w:pPr>
            <w:r>
              <w:rPr>
                <w:rFonts w:ascii="Verdana" w:hAnsi="Verdana"/>
                <w:sz w:val="16"/>
                <w:szCs w:val="16"/>
              </w:rPr>
              <w:t>Wywołanie synchroniczne</w:t>
            </w:r>
          </w:p>
        </w:tc>
        <w:tc>
          <w:tcPr>
            <w:tcW w:w="70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EDBFA" w:val="clear"/>
            <w:tcMar>
              <w:left w:w="108" w:type="dxa"/>
            </w:tcMar>
          </w:tcPr>
          <w:p>
            <w:pPr>
              <w:pStyle w:val="Tabelatre"/>
              <w:spacing w:before="60" w:after="60"/>
              <w:rPr>
                <w:rFonts w:ascii="Verdana" w:hAnsi="Verdana"/>
                <w:sz w:val="16"/>
                <w:szCs w:val="16"/>
              </w:rPr>
            </w:pPr>
            <w:r>
              <w:rPr>
                <w:rFonts w:ascii="Verdana" w:hAnsi="Verdana"/>
                <w:sz w:val="16"/>
                <w:szCs w:val="16"/>
              </w:rPr>
              <w:t>W wywołaniu synchronicznym system żądający wykonania danej operacji jest blokowany do momentu jej zakończenia. Rezultatem wywołania synchronicznego jest odpowiedź z danymi ewidencji (ew. o braku takich danych)</w:t>
            </w:r>
          </w:p>
        </w:tc>
      </w:tr>
    </w:tbl>
    <w:p>
      <w:pPr>
        <w:pStyle w:val="Normal"/>
        <w:rPr>
          <w:rFonts w:cs="Calibri"/>
        </w:rPr>
      </w:pPr>
      <w:r>
        <w:rPr>
          <w:rFonts w:cs="Calibri"/>
        </w:rPr>
      </w:r>
    </w:p>
    <w:p>
      <w:pPr>
        <w:pStyle w:val="Normal"/>
        <w:rPr>
          <w:rFonts w:cs="Calibri"/>
        </w:rPr>
      </w:pPr>
      <w:r>
        <w:rPr>
          <w:rFonts w:cs="Calibri"/>
        </w:rPr>
      </w:r>
      <w:r>
        <w:br w:type="page"/>
      </w:r>
    </w:p>
    <w:p>
      <w:pPr>
        <w:pStyle w:val="Nagwek1"/>
        <w:numPr>
          <w:ilvl w:val="0"/>
          <w:numId w:val="2"/>
        </w:numPr>
        <w:rPr/>
      </w:pPr>
      <w:bookmarkStart w:id="10" w:name="_Toc426106408"/>
      <w:bookmarkStart w:id="11" w:name="_Toc419469100"/>
      <w:bookmarkStart w:id="12" w:name="_Toc425944219"/>
      <w:bookmarkEnd w:id="10"/>
      <w:bookmarkEnd w:id="11"/>
      <w:bookmarkEnd w:id="12"/>
      <w:r>
        <w:rPr/>
        <w:t>Cel i zakres dokumentu</w:t>
      </w:r>
    </w:p>
    <w:p>
      <w:pPr>
        <w:pStyle w:val="Normal"/>
        <w:ind w:left="0" w:hanging="0"/>
        <w:rPr/>
      </w:pPr>
      <w:bookmarkStart w:id="13" w:name="_Toc419469101"/>
      <w:r>
        <w:rPr/>
        <w:t>Celem dokumentu jest dostarczenie podmiotom zewnętrznym korzystającym z interfejsu do obsługi Profilu Kandydata na Kierowcę w Centralnej Ewidencji Pojazdów i Kierowców szczegółowej informacji niezbędnej do przeprowadzenia integracji w tym zakresie z systemem CEPiK. Dokument zawiera niezbędne informacje dotyczące technicznych aspektów połączenia systemów zewnętrznych z SI CEPiK oraz szczegółowy opis metod udostępnianych przez usługę.</w:t>
      </w:r>
    </w:p>
    <w:p>
      <w:pPr>
        <w:pStyle w:val="Normal"/>
        <w:ind w:left="0" w:hanging="0"/>
        <w:rPr/>
      </w:pPr>
      <w:r>
        <w:rPr/>
        <w:t>W dokumencie znajdują się zatem:</w:t>
      </w:r>
    </w:p>
    <w:p>
      <w:pPr>
        <w:pStyle w:val="Normal"/>
        <w:numPr>
          <w:ilvl w:val="0"/>
          <w:numId w:val="11"/>
        </w:numPr>
        <w:ind w:left="709" w:hanging="709"/>
        <w:rPr/>
      </w:pPr>
      <w:r>
        <w:rPr/>
        <w:t>podstawowe informacje na temat interfejsu (Rozdział 2),</w:t>
      </w:r>
    </w:p>
    <w:p>
      <w:pPr>
        <w:pStyle w:val="Normal"/>
        <w:numPr>
          <w:ilvl w:val="0"/>
          <w:numId w:val="11"/>
        </w:numPr>
        <w:ind w:left="709" w:hanging="709"/>
        <w:rPr/>
      </w:pPr>
      <w:r>
        <w:rPr/>
        <w:t>podstawowe informacje na temat dopuszczalnych sposobów podłączenia podmiotów zewnętrznych do systemu CEPiK (Rozdział 3),</w:t>
      </w:r>
    </w:p>
    <w:p>
      <w:pPr>
        <w:pStyle w:val="Normal"/>
        <w:numPr>
          <w:ilvl w:val="0"/>
          <w:numId w:val="11"/>
        </w:numPr>
        <w:ind w:left="709" w:hanging="709"/>
        <w:rPr/>
      </w:pPr>
      <w:r>
        <w:rPr/>
        <w:t>podstawowe informacje na temat architektury interfejsu (Rozdział 4),</w:t>
      </w:r>
    </w:p>
    <w:p>
      <w:pPr>
        <w:pStyle w:val="Normal"/>
        <w:numPr>
          <w:ilvl w:val="0"/>
          <w:numId w:val="11"/>
        </w:numPr>
        <w:ind w:left="709" w:hanging="709"/>
        <w:rPr/>
      </w:pPr>
      <w:r>
        <w:rPr/>
        <w:t>opis wymagań technicznych, które muszą zostać spełnione przez system zewnętrzny aby korzystać z interfejsów do udostępniania danych Centralnej Ewidencji Pojazdów i Kierowców (Rozdział 5),</w:t>
      </w:r>
    </w:p>
    <w:p>
      <w:pPr>
        <w:pStyle w:val="Normal"/>
        <w:numPr>
          <w:ilvl w:val="0"/>
          <w:numId w:val="11"/>
        </w:numPr>
        <w:ind w:left="709" w:hanging="709"/>
        <w:rPr/>
      </w:pPr>
      <w:r>
        <w:rPr/>
        <w:t>opis metod usługi, zakresu zwracanych danych oraz minimalnego zestawu parametrów niezbędnych do ich wywołania (Rozdział 6).</w:t>
      </w:r>
    </w:p>
    <w:p>
      <w:pPr>
        <w:pStyle w:val="Nagwek1"/>
        <w:numPr>
          <w:ilvl w:val="0"/>
          <w:numId w:val="2"/>
        </w:numPr>
        <w:rPr/>
      </w:pPr>
      <w:bookmarkStart w:id="14" w:name="_Toc419469101"/>
      <w:bookmarkStart w:id="15" w:name="_Toc426106409"/>
      <w:bookmarkStart w:id="16" w:name="_Toc425944220"/>
      <w:r>
        <w:rPr/>
        <w:t xml:space="preserve">Ogólna charakterystyka interfejsu udostępniania danych dotyczących </w:t>
      </w:r>
      <w:bookmarkEnd w:id="14"/>
      <w:bookmarkEnd w:id="15"/>
      <w:bookmarkEnd w:id="16"/>
      <w:r>
        <w:rPr>
          <w:lang w:val="pl-PL"/>
        </w:rPr>
        <w:t>Profilu Kandydata na Kierowcę</w:t>
      </w:r>
    </w:p>
    <w:p>
      <w:pPr>
        <w:pStyle w:val="Normal"/>
        <w:ind w:left="0" w:hanging="0"/>
        <w:rPr/>
      </w:pPr>
      <w:bookmarkStart w:id="17" w:name="_Toc410849226"/>
      <w:bookmarkStart w:id="18" w:name="_Toc420241365"/>
      <w:bookmarkStart w:id="19" w:name="_Toc420485284"/>
      <w:r>
        <w:rPr/>
        <w:t>Komunikacja podmiotów zewnętrznych z API odbywać się będzie z użyciem protokołu komunikacyjnego SOAP.</w:t>
      </w:r>
    </w:p>
    <w:p>
      <w:pPr>
        <w:pStyle w:val="Normal"/>
        <w:ind w:left="0" w:hanging="0"/>
        <w:rPr/>
      </w:pPr>
      <w:r>
        <w:rPr/>
        <w:t xml:space="preserve">API udostępniać będzie dane w trybie </w:t>
      </w:r>
      <w:r>
        <w:rPr>
          <w:b/>
        </w:rPr>
        <w:t>synchronicznym</w:t>
      </w:r>
      <w:r>
        <w:rPr/>
        <w:t>, w następujący sposób: Użytkownik podmiotu żądającego informacji formułuje zapytanie i wysyła je do systemu CEPiK za pośrednictwem systemu eksploatowanego przez instytucję, której jest pracownikiem. System CEPiK wyszukuje potrzebne informacje, formułuje i odsyła odpowiedź. Użytkownik podmiotu żądającego informacji odbiera i odczytuje komunikat z odpowiedzią. Komunikacja w tym procesie jest synchroniczna, całość procesu realizowana jest w bardzo krótkim czasie.</w:t>
      </w:r>
    </w:p>
    <w:p>
      <w:pPr>
        <w:pStyle w:val="Normal"/>
        <w:ind w:left="0" w:hanging="0"/>
        <w:rPr/>
      </w:pPr>
      <w:r>
        <w:rPr/>
        <w:t>Architektura API zapewni możliwość rozwoju i budowy przyrostowej – przewiduje się, że część nowych (wersji) funkcji będzie dodawana z zachowaniem działania istniejących. Ma to na celu zapewnienie gładkiego dostosowywania systemów Instytucji zewnętrznych do zmienianej (rozwijanej) funkcjonalności API.</w:t>
      </w:r>
    </w:p>
    <w:p>
      <w:pPr>
        <w:pStyle w:val="Nagwek1"/>
        <w:numPr>
          <w:ilvl w:val="0"/>
          <w:numId w:val="2"/>
        </w:numPr>
        <w:rPr/>
      </w:pPr>
      <w:bookmarkStart w:id="20" w:name="_Toc410849226"/>
      <w:bookmarkStart w:id="21" w:name="_Toc420241365"/>
      <w:bookmarkStart w:id="22" w:name="_Toc420485284"/>
      <w:bookmarkStart w:id="23" w:name="_Toc426106410"/>
      <w:bookmarkStart w:id="24" w:name="_Toc425944221"/>
      <w:bookmarkEnd w:id="20"/>
      <w:bookmarkEnd w:id="21"/>
      <w:bookmarkEnd w:id="22"/>
      <w:bookmarkEnd w:id="23"/>
      <w:bookmarkEnd w:id="24"/>
      <w:r>
        <w:rPr>
          <w:b w:val="false"/>
          <w:szCs w:val="36"/>
          <w:lang w:val="pl-PL"/>
        </w:rPr>
        <w:t>Podłączenie do systemu SI CEPiK</w:t>
      </w:r>
    </w:p>
    <w:p>
      <w:pPr>
        <w:pStyle w:val="Nagwek2"/>
        <w:numPr>
          <w:ilvl w:val="1"/>
          <w:numId w:val="2"/>
        </w:numPr>
        <w:rPr/>
      </w:pPr>
      <w:bookmarkStart w:id="25" w:name="_Toc426106411"/>
      <w:bookmarkStart w:id="26" w:name="_Toc420485285"/>
      <w:bookmarkStart w:id="27" w:name="_Toc425944222"/>
      <w:bookmarkEnd w:id="25"/>
      <w:bookmarkEnd w:id="26"/>
      <w:bookmarkEnd w:id="27"/>
      <w:r>
        <w:rPr>
          <w:lang w:val="pl-PL"/>
        </w:rPr>
        <w:t>Podłączenie podmiotów do systemu CEPiK</w:t>
      </w:r>
    </w:p>
    <w:p>
      <w:pPr>
        <w:pStyle w:val="Normal"/>
        <w:ind w:left="0" w:hanging="0"/>
        <w:rPr/>
      </w:pPr>
      <w:r>
        <w:rPr/>
        <w:t>Dostęp dla podmiotów zewnętrznych do Systemu CEPiK 2.0 realizowany będzie poprzez dwa węzły do obsługi sieci:</w:t>
      </w:r>
    </w:p>
    <w:p>
      <w:pPr>
        <w:pStyle w:val="Normal"/>
        <w:numPr>
          <w:ilvl w:val="0"/>
          <w:numId w:val="12"/>
        </w:numPr>
        <w:tabs>
          <w:tab w:val="left" w:pos="993" w:leader="none"/>
        </w:tabs>
        <w:ind w:left="993" w:hanging="426"/>
        <w:rPr/>
      </w:pPr>
      <w:r>
        <w:rPr/>
        <w:t>WAN (wide area network) – sieć o wysokim stopniu zaufania (obsługa placówek samorządowych),</w:t>
      </w:r>
    </w:p>
    <w:p>
      <w:pPr>
        <w:pStyle w:val="Normal"/>
        <w:numPr>
          <w:ilvl w:val="0"/>
          <w:numId w:val="12"/>
        </w:numPr>
        <w:tabs>
          <w:tab w:val="left" w:pos="993" w:leader="none"/>
        </w:tabs>
        <w:ind w:left="993" w:hanging="426"/>
        <w:rPr/>
      </w:pPr>
      <w:r>
        <w:rPr/>
        <w:t>Internet – sieć o niskim stopniu zaufania (obsługa pozostałych podmiotów).</w:t>
      </w:r>
    </w:p>
    <w:p>
      <w:pPr>
        <w:pStyle w:val="Normal"/>
        <w:ind w:left="360" w:hanging="0"/>
        <w:jc w:val="center"/>
        <w:rPr/>
      </w:pPr>
      <w:r>
        <w:rPr/>
        <w:object>
          <v:shape id="ole_rId2" style="width:453.05pt;height:281.9pt" o:ole="">
            <v:imagedata r:id="rId3" o:title=""/>
          </v:shape>
          <o:OLEObject Type="Embed" ProgID="Visio.Drawing.15" ShapeID="ole_rId2" DrawAspect="Content" ObjectID="_474819891" r:id="rId2"/>
        </w:object>
      </w:r>
    </w:p>
    <w:p>
      <w:pPr>
        <w:pStyle w:val="Caption"/>
        <w:jc w:val="center"/>
        <w:rPr>
          <w:b w:val="false"/>
          <w:b w:val="false"/>
          <w:i/>
          <w:i/>
          <w:sz w:val="20"/>
          <w:szCs w:val="20"/>
        </w:rPr>
      </w:pPr>
      <w:bookmarkStart w:id="28" w:name="_Ref396834743"/>
      <w:r>
        <w:rPr>
          <w:b w:val="false"/>
          <w:i/>
          <w:sz w:val="20"/>
          <w:szCs w:val="20"/>
        </w:rPr>
        <w:t xml:space="preserve">Rysunek </w:t>
      </w:r>
      <w:bookmarkEnd w:id="28"/>
      <w:r>
        <w:rPr>
          <w:b w:val="false"/>
          <w:i/>
          <w:sz w:val="20"/>
          <w:szCs w:val="20"/>
        </w:rPr>
        <w:t>1 Architektura węzła WAN i Internet</w:t>
      </w:r>
    </w:p>
    <w:p>
      <w:pPr>
        <w:pStyle w:val="Nagwek3"/>
        <w:numPr>
          <w:ilvl w:val="2"/>
          <w:numId w:val="2"/>
        </w:numPr>
        <w:rPr>
          <w:b w:val="false"/>
          <w:b w:val="false"/>
        </w:rPr>
      </w:pPr>
      <w:bookmarkStart w:id="29" w:name="_Toc426106412"/>
      <w:bookmarkStart w:id="30" w:name="_Toc410849227"/>
      <w:bookmarkStart w:id="31" w:name="_Toc420241366"/>
      <w:bookmarkStart w:id="32" w:name="_Toc420485286"/>
      <w:bookmarkStart w:id="33" w:name="_Toc425944223"/>
      <w:bookmarkEnd w:id="29"/>
      <w:bookmarkEnd w:id="30"/>
      <w:bookmarkEnd w:id="31"/>
      <w:bookmarkEnd w:id="32"/>
      <w:bookmarkEnd w:id="33"/>
      <w:r>
        <w:rPr>
          <w:b w:val="false"/>
          <w:bCs w:val="false"/>
        </w:rPr>
        <w:t>Węzeł Internet</w:t>
      </w:r>
    </w:p>
    <w:p>
      <w:pPr>
        <w:pStyle w:val="Normal"/>
        <w:ind w:left="567" w:hanging="0"/>
        <w:rPr/>
      </w:pPr>
      <w:r>
        <w:rPr/>
        <w:t>Połączenie poprzez sieć o niskim poziomie zaufania odbywać się będzie za pomocą połączenia VPN. Dodatkowo wszystkie transakcje wykonywane w systemie CEPiK 2.0, niezależnie od użytej metody połączenia, używać będą szyfrowanej transmisji wykorzystującej protokół SSL oraz symetryczny klucz szyfrujący. Do poprawnej komunikacji z systemem tym kanałem wymagane więc będzie wydanie przez MSW certyfikatu niezbędnego do połączenia.</w:t>
      </w:r>
    </w:p>
    <w:p>
      <w:pPr>
        <w:pStyle w:val="Normal"/>
        <w:spacing w:lineRule="auto" w:line="240"/>
        <w:rPr/>
      </w:pPr>
      <w:r>
        <w:rPr/>
      </w:r>
      <w:r>
        <w:br w:type="page"/>
      </w:r>
    </w:p>
    <w:p>
      <w:pPr>
        <w:pStyle w:val="Normal"/>
        <w:ind w:left="567" w:hanging="0"/>
        <w:rPr/>
      </w:pPr>
      <w:r>
        <w:rPr/>
        <w:t>Zalecane będą następujące minimalne parametry połączenia:</w:t>
      </w:r>
    </w:p>
    <w:p>
      <w:pPr>
        <w:pStyle w:val="Normal"/>
        <w:numPr>
          <w:ilvl w:val="0"/>
          <w:numId w:val="3"/>
        </w:numPr>
        <w:ind w:left="993" w:hanging="426"/>
        <w:rPr/>
      </w:pPr>
      <w:r>
        <w:rPr/>
        <w:t>łącze ze stałym adresem publicznym,</w:t>
      </w:r>
    </w:p>
    <w:p>
      <w:pPr>
        <w:pStyle w:val="Normal"/>
        <w:numPr>
          <w:ilvl w:val="0"/>
          <w:numId w:val="3"/>
        </w:numPr>
        <w:ind w:left="993" w:hanging="426"/>
        <w:rPr/>
      </w:pPr>
      <w:r>
        <w:rPr/>
        <w:t>łącze symetryczne o przepustowości minimum 512KB/s</w:t>
      </w:r>
    </w:p>
    <w:p>
      <w:pPr>
        <w:pStyle w:val="Normal"/>
        <w:ind w:left="567" w:hanging="0"/>
        <w:rPr/>
      </w:pPr>
      <w:r>
        <w:rPr/>
        <w:t>Łącze internetowe powinno być zakończone urządzeniem (routerem) o parametrach:</w:t>
      </w:r>
    </w:p>
    <w:p>
      <w:pPr>
        <w:pStyle w:val="Normal"/>
        <w:numPr>
          <w:ilvl w:val="0"/>
          <w:numId w:val="13"/>
        </w:numPr>
        <w:ind w:left="993" w:hanging="426"/>
        <w:rPr/>
      </w:pPr>
      <w:r>
        <w:rPr/>
        <w:t>Możliwość zestawienia tunelu VPN (IPSec) z wykorzystaniem certyfikatu do urządzenia Cisco ASA 55xx,</w:t>
      </w:r>
    </w:p>
    <w:p>
      <w:pPr>
        <w:pStyle w:val="Normal"/>
        <w:numPr>
          <w:ilvl w:val="0"/>
          <w:numId w:val="13"/>
        </w:numPr>
        <w:ind w:left="993" w:hanging="426"/>
        <w:rPr/>
      </w:pPr>
      <w:r>
        <w:rPr/>
        <w:t>możliwość zestawienia tunelu VPN „na żądanie”,</w:t>
      </w:r>
    </w:p>
    <w:p>
      <w:pPr>
        <w:pStyle w:val="Normal"/>
        <w:numPr>
          <w:ilvl w:val="0"/>
          <w:numId w:val="13"/>
        </w:numPr>
        <w:ind w:left="993" w:hanging="426"/>
        <w:rPr/>
      </w:pPr>
      <w:r>
        <w:rPr/>
        <w:t>dedykowany interfejs sieciowy (lokalny) do połączenia z wydzieloną siecią LAN,</w:t>
      </w:r>
    </w:p>
    <w:p>
      <w:pPr>
        <w:pStyle w:val="Normal"/>
        <w:numPr>
          <w:ilvl w:val="0"/>
          <w:numId w:val="13"/>
        </w:numPr>
        <w:ind w:left="993" w:hanging="426"/>
        <w:rPr/>
      </w:pPr>
      <w:r>
        <w:rPr/>
        <w:t>możliwość definiowania reguł ograniczających ruch pomiędzy interfejsami,</w:t>
      </w:r>
    </w:p>
    <w:p>
      <w:pPr>
        <w:pStyle w:val="Normal"/>
        <w:numPr>
          <w:ilvl w:val="0"/>
          <w:numId w:val="13"/>
        </w:numPr>
        <w:ind w:left="993" w:hanging="426"/>
        <w:rPr/>
      </w:pPr>
      <w:r>
        <w:rPr/>
        <w:t>możliwość definiowania reguł ograniczających dostęp do tunelu VPN.</w:t>
      </w:r>
    </w:p>
    <w:p>
      <w:pPr>
        <w:pStyle w:val="Normal"/>
        <w:ind w:left="567" w:hanging="0"/>
        <w:rPr/>
      </w:pPr>
      <w:r>
        <w:rPr/>
        <w:t xml:space="preserve">W przypadku połączeń pojedynczych użytkowników indywidualnych możliwe jest wykorzystanie połączenia VPN typu Remote Access. Wymaga to zastosowania specjalnego oprogramowania instalowanego bezpośrednio na stacji roboczej. </w:t>
      </w:r>
    </w:p>
    <w:p>
      <w:pPr>
        <w:pStyle w:val="Nagwek3"/>
        <w:numPr>
          <w:ilvl w:val="2"/>
          <w:numId w:val="2"/>
        </w:numPr>
        <w:rPr/>
      </w:pPr>
      <w:bookmarkStart w:id="34" w:name="_Toc426106413"/>
      <w:bookmarkStart w:id="35" w:name="_Toc410849228"/>
      <w:bookmarkStart w:id="36" w:name="_Toc420241367"/>
      <w:bookmarkStart w:id="37" w:name="_Toc420485287"/>
      <w:bookmarkStart w:id="38" w:name="_Toc425944224"/>
      <w:bookmarkEnd w:id="34"/>
      <w:bookmarkEnd w:id="35"/>
      <w:bookmarkEnd w:id="36"/>
      <w:bookmarkEnd w:id="37"/>
      <w:bookmarkEnd w:id="38"/>
      <w:r>
        <w:rPr>
          <w:b w:val="false"/>
          <w:bCs w:val="false"/>
        </w:rPr>
        <w:t>Węzeł WAN</w:t>
      </w:r>
    </w:p>
    <w:p>
      <w:pPr>
        <w:pStyle w:val="Normal"/>
        <w:ind w:left="567" w:hanging="0"/>
        <w:rPr/>
      </w:pPr>
      <w:r>
        <w:rPr>
          <w:lang w:eastAsia="zh-CN"/>
        </w:rPr>
        <w:t xml:space="preserve">W sieci WAN, podobnie jak przy połączeniach z siecią internet, wymagane będzie </w:t>
      </w:r>
      <w:r>
        <w:rPr/>
        <w:t>szyfrowanie transmisji z wykorzystaniem protokołu SSL oraz symetryczny klucz szyfrujący. Do poprawnej komunikacji z systemem tym kanałem wymagane więc będzie wydanie tokena USB zawierającego certyfikat wystawiony przez MSW niezbędny do połączenia.</w:t>
      </w:r>
    </w:p>
    <w:p>
      <w:pPr>
        <w:pStyle w:val="Nagwek2"/>
        <w:numPr>
          <w:ilvl w:val="1"/>
          <w:numId w:val="2"/>
        </w:numPr>
        <w:rPr>
          <w:lang w:val="pl-PL"/>
        </w:rPr>
      </w:pPr>
      <w:bookmarkStart w:id="39" w:name="_Toc426106414"/>
      <w:bookmarkStart w:id="40" w:name="_Toc419484531"/>
      <w:bookmarkStart w:id="41" w:name="_Toc420485288"/>
      <w:bookmarkStart w:id="42" w:name="_Toc425944225"/>
      <w:bookmarkEnd w:id="39"/>
      <w:bookmarkEnd w:id="40"/>
      <w:bookmarkEnd w:id="41"/>
      <w:bookmarkEnd w:id="42"/>
      <w:r>
        <w:rPr/>
        <w:t>Wykorzystane protokoły</w:t>
      </w:r>
    </w:p>
    <w:p>
      <w:pPr>
        <w:pStyle w:val="Normal"/>
        <w:ind w:left="567" w:hanging="0"/>
        <w:rPr>
          <w:color w:val="000000" w:themeColor="text1"/>
        </w:rPr>
      </w:pPr>
      <w:r>
        <w:rPr/>
        <w:t>Komunikacja systemu zewnętrznego z udostępnionym interfejsem realizowana będzie z użyciem protokołu SOAP. Specyfikacja metod udostępnianych przez API SI CEPiK będzie realizowana</w:t>
      </w:r>
      <w:r>
        <w:rPr>
          <w:color w:val="000000" w:themeColor="text1"/>
        </w:rPr>
        <w:t xml:space="preserve"> za pomocą języka WSDL opartego na konstrukcji XML-a, który służy do definiowania usług internetowych.</w:t>
      </w:r>
    </w:p>
    <w:p>
      <w:pPr>
        <w:pStyle w:val="Normal"/>
        <w:ind w:left="567" w:hanging="0"/>
        <w:rPr/>
      </w:pPr>
      <w:r>
        <w:rPr/>
        <w:t>Jako protokół transportowy pomiędzy systemem zewnętrznym, a Centralną Ewidencją Pojazdów i kierowców wykorzystywany jest protokół HTTPS.</w:t>
      </w:r>
    </w:p>
    <w:p>
      <w:pPr>
        <w:pStyle w:val="Nagwek1"/>
        <w:numPr>
          <w:ilvl w:val="0"/>
          <w:numId w:val="2"/>
        </w:numPr>
        <w:spacing w:before="240" w:after="0"/>
        <w:rPr>
          <w:szCs w:val="36"/>
        </w:rPr>
      </w:pPr>
      <w:bookmarkStart w:id="43" w:name="_Toc426106415"/>
      <w:bookmarkStart w:id="44" w:name="_Toc425944226"/>
      <w:bookmarkStart w:id="45" w:name="_Toc293917616"/>
      <w:bookmarkStart w:id="46" w:name="_Toc420241369"/>
      <w:bookmarkStart w:id="47" w:name="_Toc420485289"/>
      <w:r>
        <w:rPr>
          <w:szCs w:val="36"/>
        </w:rPr>
        <w:t xml:space="preserve">Uwierzytelnianie, autoryzacja, </w:t>
      </w:r>
      <w:bookmarkEnd w:id="45"/>
      <w:bookmarkEnd w:id="46"/>
      <w:bookmarkEnd w:id="47"/>
      <w:r>
        <w:rPr>
          <w:szCs w:val="36"/>
          <w:lang w:val="pl-PL"/>
        </w:rPr>
        <w:t>bezpieczeństwo</w:t>
      </w:r>
      <w:bookmarkEnd w:id="43"/>
      <w:bookmarkEnd w:id="44"/>
      <w:r>
        <w:rPr>
          <w:szCs w:val="36"/>
        </w:rPr>
        <w:t xml:space="preserve"> </w:t>
      </w:r>
    </w:p>
    <w:p>
      <w:pPr>
        <w:pStyle w:val="Normal"/>
        <w:ind w:left="0" w:hanging="0"/>
        <w:rPr/>
      </w:pPr>
      <w:bookmarkStart w:id="48" w:name="_Toc399619077"/>
      <w:bookmarkStart w:id="49" w:name="_Toc410045556"/>
      <w:r>
        <w:rPr/>
        <w:t xml:space="preserve">Wszystkie operacje realizowane przez użytkownika w systemie CEPiK będą logowane do logów AUDYT i SLA, a w przypadku danych osobowych również do logu GIODO. </w:t>
      </w:r>
    </w:p>
    <w:p>
      <w:pPr>
        <w:pStyle w:val="Normal"/>
        <w:spacing w:lineRule="auto" w:line="240"/>
        <w:rPr>
          <w:b/>
          <w:b/>
          <w:bCs/>
          <w:color w:val="63849B"/>
          <w:sz w:val="28"/>
          <w:szCs w:val="26"/>
          <w:lang w:val="x-none" w:eastAsia="zh-CN"/>
        </w:rPr>
      </w:pPr>
      <w:bookmarkStart w:id="50" w:name="_Toc293917617"/>
      <w:bookmarkStart w:id="51" w:name="_Toc420241370"/>
      <w:bookmarkStart w:id="52" w:name="_Toc420485290"/>
      <w:bookmarkStart w:id="53" w:name="_Toc293917617"/>
      <w:bookmarkStart w:id="54" w:name="_Toc420241370"/>
      <w:bookmarkStart w:id="55" w:name="_Toc420485290"/>
      <w:r>
        <w:rPr>
          <w:b/>
          <w:bCs/>
          <w:color w:val="63849B"/>
          <w:sz w:val="28"/>
          <w:szCs w:val="26"/>
          <w:lang w:val="x-none" w:eastAsia="zh-CN"/>
        </w:rPr>
      </w:r>
      <w:r>
        <w:br w:type="page"/>
      </w:r>
    </w:p>
    <w:p>
      <w:pPr>
        <w:pStyle w:val="Nagwek2"/>
        <w:numPr>
          <w:ilvl w:val="1"/>
          <w:numId w:val="2"/>
        </w:numPr>
        <w:spacing w:before="120" w:after="0"/>
        <w:rPr/>
      </w:pPr>
      <w:bookmarkStart w:id="56" w:name="_Toc426106416"/>
      <w:bookmarkStart w:id="57" w:name="_Toc425944227"/>
      <w:r>
        <w:rPr/>
        <w:t xml:space="preserve">Uwierzytelnianie </w:t>
      </w:r>
      <w:r>
        <w:rPr>
          <w:lang w:val="pl-PL"/>
        </w:rPr>
        <w:t>i</w:t>
      </w:r>
      <w:bookmarkEnd w:id="53"/>
      <w:bookmarkEnd w:id="54"/>
      <w:bookmarkEnd w:id="55"/>
      <w:bookmarkEnd w:id="56"/>
      <w:bookmarkEnd w:id="57"/>
      <w:r>
        <w:rPr/>
        <w:t xml:space="preserve"> autoryzacja</w:t>
      </w:r>
    </w:p>
    <w:p>
      <w:pPr>
        <w:pStyle w:val="Normal"/>
        <w:ind w:left="567" w:hanging="0"/>
        <w:rPr/>
      </w:pPr>
      <w:r>
        <w:rPr/>
        <w:t>Uwierzytelnianie odbywać się będzie na dwa sposoby:</w:t>
      </w:r>
    </w:p>
    <w:p>
      <w:pPr>
        <w:pStyle w:val="Normal"/>
        <w:numPr>
          <w:ilvl w:val="0"/>
          <w:numId w:val="14"/>
        </w:numPr>
        <w:ind w:left="993" w:hanging="426"/>
        <w:rPr/>
      </w:pPr>
      <w:r>
        <w:rPr/>
        <w:t xml:space="preserve">uwierzytelnienie użytkownika w systemie CEPiK z użyciem dostarczanego na karcie prywatnego certyfikatu zabezpieczonego kodem PIN – w tym przypadku rozliczalność transakcji zapewnia SI CEPiK, </w:t>
      </w:r>
    </w:p>
    <w:p>
      <w:pPr>
        <w:pStyle w:val="Normal"/>
        <w:numPr>
          <w:ilvl w:val="0"/>
          <w:numId w:val="14"/>
        </w:numPr>
        <w:ind w:left="993" w:hanging="426"/>
        <w:rPr/>
      </w:pPr>
      <w:r>
        <w:rPr/>
        <w:t xml:space="preserve">uwierzytelnianie użytkownika w systemie zewnętrznym – w tym przypadku uwierzytelnianie odbywa się w systemie zewnętrznym, a następnie system zewnętrzny uwierzytelnia się w SI CEPiK z użyciem tokenów USB z certyfikatem. W przypadku tego typu uwierzytelniana rozliczalność transakcji spoczywa na systemie zewnętrznym, musi więc on zapewnić logowanie wszystkich operacji skutkujących wymianą danych z SI CEPiK wraz z danymi umożliwiającymi jednoznaczne identyfikacje użytkownika w systemie zewnętrznym. Format komunikatu przesyłanego do SI CEPiK wymuszać będzie przekazanie identyfikatora użytkownika w systemie zewnętrznym.  </w:t>
      </w:r>
    </w:p>
    <w:p>
      <w:pPr>
        <w:pStyle w:val="Normal"/>
        <w:ind w:left="567" w:hanging="0"/>
        <w:rPr/>
      </w:pPr>
      <w:r>
        <w:rPr/>
        <w:t>Na potrzeby korzystania z systemu przewidziany jest jeden spójny interfejs dostępowy, ograniczanie zakresu informacyjnego odbywać się będzie na podstawie danych autoryzacyjnych użytkownika przechowywanych w repozytorium tożsamości systemu CEPiK.</w:t>
      </w:r>
    </w:p>
    <w:p>
      <w:pPr>
        <w:pStyle w:val="Nagwek2"/>
        <w:numPr>
          <w:ilvl w:val="1"/>
          <w:numId w:val="2"/>
        </w:numPr>
        <w:spacing w:before="120" w:after="0"/>
        <w:rPr/>
      </w:pPr>
      <w:bookmarkStart w:id="58" w:name="_Toc426106417"/>
      <w:bookmarkStart w:id="59" w:name="_Toc293917618"/>
      <w:bookmarkStart w:id="60" w:name="_Toc420241371"/>
      <w:bookmarkStart w:id="61" w:name="_Toc420485291"/>
      <w:bookmarkStart w:id="62" w:name="_Toc425944228"/>
      <w:bookmarkEnd w:id="58"/>
      <w:bookmarkEnd w:id="59"/>
      <w:bookmarkEnd w:id="60"/>
      <w:bookmarkEnd w:id="61"/>
      <w:bookmarkEnd w:id="62"/>
      <w:r>
        <w:rPr/>
        <w:t>Poufność transmisji danych</w:t>
      </w:r>
    </w:p>
    <w:p>
      <w:pPr>
        <w:pStyle w:val="Normal"/>
        <w:ind w:left="567" w:hanging="0"/>
        <w:rPr/>
      </w:pPr>
      <w:r>
        <w:rPr/>
        <w:t>Połączenia pomiędzy systemem zewnętrznym korzystającym z interfejsu a systemem CEPiK używają szyfrowanej transmisji wykorzystującej protokół SSL oraz symetryczny klucz szyfrujący.</w:t>
      </w:r>
    </w:p>
    <w:p>
      <w:pPr>
        <w:pStyle w:val="Nagwek2"/>
        <w:numPr>
          <w:ilvl w:val="1"/>
          <w:numId w:val="2"/>
        </w:numPr>
        <w:spacing w:before="120" w:after="0"/>
        <w:rPr/>
      </w:pPr>
      <w:bookmarkStart w:id="63" w:name="_Toc426106418"/>
      <w:bookmarkStart w:id="64" w:name="_Toc293917619"/>
      <w:bookmarkStart w:id="65" w:name="_Toc420241372"/>
      <w:bookmarkStart w:id="66" w:name="_Toc420485292"/>
      <w:bookmarkStart w:id="67" w:name="_Toc425944229"/>
      <w:r>
        <w:rPr/>
        <w:t xml:space="preserve">Rozliczalność </w:t>
      </w:r>
      <w:r>
        <w:rPr>
          <w:lang w:val="pl-PL"/>
        </w:rPr>
        <w:t>i</w:t>
      </w:r>
      <w:bookmarkEnd w:id="63"/>
      <w:bookmarkEnd w:id="64"/>
      <w:bookmarkEnd w:id="65"/>
      <w:bookmarkEnd w:id="66"/>
      <w:bookmarkEnd w:id="67"/>
      <w:r>
        <w:rPr/>
        <w:t xml:space="preserve"> integralność</w:t>
      </w:r>
    </w:p>
    <w:p>
      <w:pPr>
        <w:pStyle w:val="Normal"/>
        <w:ind w:left="567" w:hanging="0"/>
        <w:rPr/>
      </w:pPr>
      <w:r>
        <w:rPr/>
        <w:t>W przypadku gdy z SI CEPiK integruje się system zewnętrzny uwierzytelnianiu i autoryzacji podlega jedynie serwer komunikacyjny systemu zewnętrznego do którego przypisany jest odpowiedni profil uprawnień. Interfejs wymaga, aby jednym z parametrów zapytania był identyfikator użytkownika, w imieniu którego system zewnętrzny przekazał zapytanie. Zapewnienie rozliczalności działań użytkowników oraz ograniczenie zwracanego im zakresu informacyjnego w zależności od przysługujących im uprawnień spoczywa jednak na systemie zewnętrznym.</w:t>
      </w:r>
    </w:p>
    <w:p>
      <w:pPr>
        <w:pStyle w:val="Normal"/>
        <w:ind w:left="567" w:hanging="0"/>
        <w:rPr/>
      </w:pPr>
      <w:bookmarkStart w:id="68" w:name="_Toc399619077"/>
      <w:bookmarkStart w:id="69" w:name="_Toc410045556"/>
      <w:bookmarkEnd w:id="68"/>
      <w:bookmarkEnd w:id="69"/>
      <w:r>
        <w:rPr/>
        <w:t xml:space="preserve">Uwierzytelnienie polega na sprawdzeniu certyfikatu którym podpisany jest komunikat. Jego podpisanie przez system zewnętrzny zapewnia integralność komunikatu. Do podpisu komunikatu konieczny będzie certyfikat różny od certyfikatu wykorzystywanego do zabezpieczenia połączenia pomiędzy systemem zewnętrznym a SI CEPiK. </w:t>
      </w:r>
    </w:p>
    <w:p>
      <w:pPr>
        <w:pStyle w:val="Nagwek1"/>
        <w:numPr>
          <w:ilvl w:val="0"/>
          <w:numId w:val="2"/>
        </w:numPr>
        <w:rPr>
          <w:lang w:val="pl-PL"/>
        </w:rPr>
      </w:pPr>
      <w:bookmarkStart w:id="70" w:name="_Toc426106419"/>
      <w:bookmarkStart w:id="71" w:name="_Toc419469111"/>
      <w:bookmarkStart w:id="72" w:name="_Toc425944230"/>
      <w:r>
        <w:rPr/>
        <w:t>Wymagania dla system</w:t>
      </w:r>
      <w:r>
        <w:rPr>
          <w:lang w:val="pl-PL"/>
        </w:rPr>
        <w:t>u</w:t>
      </w:r>
      <w:r>
        <w:rPr/>
        <w:t xml:space="preserve"> zewnętrzn</w:t>
      </w:r>
      <w:bookmarkEnd w:id="70"/>
      <w:bookmarkEnd w:id="71"/>
      <w:bookmarkEnd w:id="72"/>
      <w:r>
        <w:rPr>
          <w:lang w:val="pl-PL"/>
        </w:rPr>
        <w:t>ego</w:t>
      </w:r>
    </w:p>
    <w:p>
      <w:pPr>
        <w:pStyle w:val="Nagwek2"/>
        <w:numPr>
          <w:ilvl w:val="1"/>
          <w:numId w:val="2"/>
        </w:numPr>
        <w:rPr/>
      </w:pPr>
      <w:bookmarkStart w:id="73" w:name="_Toc426106420"/>
      <w:bookmarkStart w:id="74" w:name="_Toc419469112"/>
      <w:bookmarkStart w:id="75" w:name="_Toc425944231"/>
      <w:bookmarkEnd w:id="73"/>
      <w:bookmarkEnd w:id="74"/>
      <w:bookmarkEnd w:id="75"/>
      <w:r>
        <w:rPr/>
        <w:t>Podpisywanie komunikatów</w:t>
      </w:r>
    </w:p>
    <w:p>
      <w:pPr>
        <w:pStyle w:val="Normal"/>
        <w:ind w:left="567" w:hanging="0"/>
        <w:rPr/>
      </w:pPr>
      <w:r>
        <w:rPr/>
        <w:t>W celu podpisywania komunikatów wykorzystywany jest mechanizm XML Signature. Podpisywany jest element „body” koperty SOAP. Podpis – zgodny ze standardem XML Signature dołączony jest do nagłówka (elementu „header”) koperty SOAP. Do podpisu dołączony jest certyfikat z kluczem publicznym służącym do weryfikacji podpisu.</w:t>
      </w:r>
    </w:p>
    <w:p>
      <w:pPr>
        <w:pStyle w:val="Nagwek2"/>
        <w:numPr>
          <w:ilvl w:val="1"/>
          <w:numId w:val="2"/>
        </w:numPr>
        <w:rPr/>
      </w:pPr>
      <w:bookmarkStart w:id="76" w:name="_Toc426106421"/>
      <w:bookmarkStart w:id="77" w:name="_Toc419469113"/>
      <w:bookmarkStart w:id="78" w:name="_Toc425944232"/>
      <w:bookmarkEnd w:id="76"/>
      <w:bookmarkEnd w:id="77"/>
      <w:bookmarkEnd w:id="78"/>
      <w:r>
        <w:rPr/>
        <w:t>Walidacja pól w API</w:t>
      </w:r>
    </w:p>
    <w:p>
      <w:pPr>
        <w:pStyle w:val="Normal"/>
        <w:ind w:left="567" w:hanging="0"/>
        <w:rPr/>
      </w:pPr>
      <w:r>
        <w:rPr/>
        <w:t>Parametry zapytań walidowane są pod kątem :</w:t>
      </w:r>
    </w:p>
    <w:p>
      <w:pPr>
        <w:pStyle w:val="Tretekstu"/>
        <w:numPr>
          <w:ilvl w:val="0"/>
          <w:numId w:val="10"/>
        </w:numPr>
        <w:ind w:left="993" w:hanging="426"/>
        <w:textAlignment w:val="auto"/>
        <w:rPr>
          <w:rFonts w:ascii="Calibri" w:hAnsi="Calibri" w:asciiTheme="minorHAnsi" w:hAnsiTheme="minorHAnsi"/>
          <w:sz w:val="22"/>
          <w:szCs w:val="22"/>
        </w:rPr>
      </w:pPr>
      <w:r>
        <w:rPr>
          <w:rFonts w:ascii="Calibri" w:hAnsi="Calibri" w:asciiTheme="minorHAnsi" w:hAnsiTheme="minorHAnsi"/>
          <w:sz w:val="22"/>
          <w:szCs w:val="22"/>
        </w:rPr>
        <w:t xml:space="preserve">Pola typu </w:t>
      </w:r>
      <w:r>
        <w:rPr>
          <w:rFonts w:ascii="Calibri" w:hAnsi="Calibri" w:asciiTheme="minorHAnsi" w:hAnsiTheme="minorHAnsi"/>
          <w:i/>
          <w:sz w:val="22"/>
          <w:szCs w:val="22"/>
        </w:rPr>
        <w:t>date</w:t>
      </w:r>
      <w:r>
        <w:rPr>
          <w:rFonts w:ascii="Calibri" w:hAnsi="Calibri" w:asciiTheme="minorHAnsi" w:hAnsiTheme="minorHAnsi"/>
          <w:sz w:val="22"/>
          <w:szCs w:val="22"/>
        </w:rPr>
        <w:t xml:space="preserve"> i </w:t>
      </w:r>
      <w:r>
        <w:rPr>
          <w:rFonts w:ascii="Calibri" w:hAnsi="Calibri" w:asciiTheme="minorHAnsi" w:hAnsiTheme="minorHAnsi"/>
          <w:i/>
          <w:sz w:val="22"/>
          <w:szCs w:val="22"/>
        </w:rPr>
        <w:t>dateTime</w:t>
      </w:r>
      <w:r>
        <w:rPr>
          <w:rFonts w:ascii="Calibri" w:hAnsi="Calibri" w:asciiTheme="minorHAnsi" w:hAnsiTheme="minorHAnsi"/>
          <w:sz w:val="22"/>
          <w:szCs w:val="22"/>
        </w:rPr>
        <w:t xml:space="preserve"> są walidowane pod kątem poprawności na poziomie WSDL. Prawidłowy format danych to:  </w:t>
      </w:r>
      <w:r>
        <w:rPr>
          <w:rFonts w:ascii="Calibri" w:hAnsi="Calibri" w:asciiTheme="minorHAnsi" w:hAnsiTheme="minorHAnsi"/>
          <w:i/>
          <w:sz w:val="22"/>
          <w:szCs w:val="22"/>
        </w:rPr>
        <w:t>date</w:t>
      </w:r>
      <w:r>
        <w:rPr>
          <w:rFonts w:ascii="Calibri" w:hAnsi="Calibri" w:asciiTheme="minorHAnsi" w:hAnsiTheme="minorHAnsi"/>
          <w:sz w:val="22"/>
          <w:szCs w:val="22"/>
        </w:rPr>
        <w:t xml:space="preserve"> (YYYY-MM-DD) i </w:t>
      </w:r>
      <w:r>
        <w:rPr>
          <w:rFonts w:ascii="Calibri" w:hAnsi="Calibri" w:asciiTheme="minorHAnsi" w:hAnsiTheme="minorHAnsi"/>
          <w:i/>
          <w:sz w:val="22"/>
          <w:szCs w:val="22"/>
        </w:rPr>
        <w:t>dateTime</w:t>
      </w:r>
      <w:r>
        <w:rPr>
          <w:rFonts w:ascii="Calibri" w:hAnsi="Calibri" w:asciiTheme="minorHAnsi" w:hAnsiTheme="minorHAnsi"/>
          <w:sz w:val="22"/>
          <w:szCs w:val="22"/>
        </w:rPr>
        <w:t xml:space="preserve"> (YYYY-MM-DDThh:mm:ss).</w:t>
      </w:r>
    </w:p>
    <w:p>
      <w:pPr>
        <w:pStyle w:val="Tretekstu"/>
        <w:numPr>
          <w:ilvl w:val="0"/>
          <w:numId w:val="10"/>
        </w:numPr>
        <w:ind w:left="993" w:hanging="426"/>
        <w:textAlignment w:val="auto"/>
        <w:rPr>
          <w:rFonts w:ascii="Calibri" w:hAnsi="Calibri" w:asciiTheme="minorHAnsi" w:hAnsiTheme="minorHAnsi"/>
          <w:sz w:val="22"/>
          <w:szCs w:val="22"/>
        </w:rPr>
      </w:pPr>
      <w:r>
        <w:rPr>
          <w:rFonts w:ascii="Calibri" w:hAnsi="Calibri" w:asciiTheme="minorHAnsi" w:hAnsiTheme="minorHAnsi"/>
          <w:sz w:val="22"/>
          <w:szCs w:val="22"/>
        </w:rPr>
        <w:t>Długość pól tekstowych jest weryfikowana na poziomie WSDL</w:t>
      </w:r>
    </w:p>
    <w:p>
      <w:pPr>
        <w:pStyle w:val="Tretekstu"/>
        <w:numPr>
          <w:ilvl w:val="0"/>
          <w:numId w:val="10"/>
        </w:numPr>
        <w:ind w:left="993" w:hanging="426"/>
        <w:textAlignment w:val="auto"/>
        <w:rPr>
          <w:rFonts w:ascii="Calibri" w:hAnsi="Calibri" w:asciiTheme="minorHAnsi" w:hAnsiTheme="minorHAnsi"/>
          <w:sz w:val="22"/>
          <w:szCs w:val="22"/>
        </w:rPr>
      </w:pPr>
      <w:r>
        <w:rPr>
          <w:rFonts w:ascii="Calibri" w:hAnsi="Calibri" w:asciiTheme="minorHAnsi" w:hAnsiTheme="minorHAnsi"/>
          <w:sz w:val="22"/>
          <w:szCs w:val="22"/>
          <w:lang w:val="pl-PL"/>
        </w:rPr>
        <w:t xml:space="preserve">Pola typu </w:t>
      </w:r>
      <w:r>
        <w:rPr>
          <w:rFonts w:ascii="Calibri" w:hAnsi="Calibri" w:asciiTheme="minorHAnsi" w:hAnsiTheme="minorHAnsi"/>
          <w:i/>
          <w:sz w:val="22"/>
          <w:szCs w:val="22"/>
          <w:lang w:val="pl-PL"/>
        </w:rPr>
        <w:t>boolean</w:t>
      </w:r>
      <w:r>
        <w:rPr>
          <w:rFonts w:ascii="Calibri" w:hAnsi="Calibri" w:asciiTheme="minorHAnsi" w:hAnsiTheme="minorHAnsi"/>
          <w:sz w:val="22"/>
          <w:szCs w:val="22"/>
          <w:lang w:val="pl-PL"/>
        </w:rPr>
        <w:t xml:space="preserve"> (wartości true/false) są </w:t>
      </w:r>
      <w:r>
        <w:rPr>
          <w:rFonts w:ascii="Calibri" w:hAnsi="Calibri" w:asciiTheme="minorHAnsi" w:hAnsiTheme="minorHAnsi"/>
          <w:sz w:val="22"/>
          <w:szCs w:val="22"/>
        </w:rPr>
        <w:t>walidowane pod kątem poprawności na poziomie WSDL</w:t>
      </w:r>
    </w:p>
    <w:p>
      <w:pPr>
        <w:pStyle w:val="Tretekstu"/>
        <w:numPr>
          <w:ilvl w:val="0"/>
          <w:numId w:val="10"/>
        </w:numPr>
        <w:ind w:left="993" w:hanging="426"/>
        <w:textAlignment w:val="auto"/>
        <w:rPr>
          <w:rFonts w:ascii="Calibri" w:hAnsi="Calibri" w:asciiTheme="minorHAnsi" w:hAnsiTheme="minorHAnsi"/>
          <w:sz w:val="22"/>
          <w:szCs w:val="22"/>
        </w:rPr>
      </w:pPr>
      <w:r>
        <w:rPr>
          <w:rFonts w:ascii="Calibri" w:hAnsi="Calibri" w:asciiTheme="minorHAnsi" w:hAnsiTheme="minorHAnsi"/>
          <w:sz w:val="22"/>
          <w:szCs w:val="22"/>
        </w:rPr>
        <w:t xml:space="preserve">Weryfikacja poprawności wypełnienia pól wskazanych jako wymagane </w:t>
      </w:r>
    </w:p>
    <w:p>
      <w:pPr>
        <w:pStyle w:val="Nagwek2"/>
        <w:numPr>
          <w:ilvl w:val="1"/>
          <w:numId w:val="2"/>
        </w:numPr>
        <w:rPr/>
      </w:pPr>
      <w:bookmarkStart w:id="79" w:name="_Toc426106422"/>
      <w:bookmarkStart w:id="80" w:name="_Toc419469114"/>
      <w:bookmarkStart w:id="81" w:name="_Toc425944233"/>
      <w:bookmarkEnd w:id="79"/>
      <w:bookmarkEnd w:id="80"/>
      <w:bookmarkEnd w:id="81"/>
      <w:r>
        <w:rPr>
          <w:lang w:val="pl-PL"/>
        </w:rPr>
        <w:t>Komunikaty błędów</w:t>
      </w:r>
    </w:p>
    <w:p>
      <w:pPr>
        <w:pStyle w:val="Normal"/>
        <w:ind w:left="567" w:hanging="0"/>
        <w:rPr/>
      </w:pPr>
      <w:bookmarkStart w:id="82" w:name="_Toc419469115"/>
      <w:r>
        <w:rPr/>
        <w:t xml:space="preserve">Struktura komunikatu błędu jest jednakowa dla błędów biznesowych i technicznych. Tabela kodów i komunikatów błędów znajduje się w pliku xls w załączniku. </w:t>
      </w:r>
    </w:p>
    <w:p>
      <w:pPr>
        <w:pStyle w:val="Normal"/>
        <w:ind w:left="567" w:hanging="0"/>
        <w:rPr/>
      </w:pPr>
      <w:r>
        <w:rPr/>
        <w:t>Poniżej przedstawiono przykładowy komunikat błędu:</w:t>
      </w:r>
    </w:p>
    <w:p>
      <w:pPr>
        <w:pStyle w:val="Normal"/>
        <w:ind w:left="567" w:hanging="0"/>
        <w:rPr>
          <w:i/>
          <w:i/>
          <w:sz w:val="20"/>
          <w:szCs w:val="20"/>
          <w:lang w:val="en-US"/>
        </w:rPr>
      </w:pPr>
      <w:r>
        <w:rPr>
          <w:i/>
          <w:sz w:val="20"/>
          <w:szCs w:val="20"/>
          <w:lang w:val="en-US"/>
        </w:rPr>
        <w:t>&lt;soapenv:Envelope xmlns:soapenv="http://schemas.xmlsoap.org/soap/envelope/" &gt;</w:t>
      </w:r>
    </w:p>
    <w:p>
      <w:pPr>
        <w:pStyle w:val="Normal"/>
        <w:ind w:left="567" w:hanging="0"/>
        <w:rPr>
          <w:i/>
          <w:i/>
          <w:sz w:val="20"/>
          <w:szCs w:val="20"/>
          <w:lang w:val="en-US"/>
        </w:rPr>
      </w:pPr>
      <w:r>
        <w:rPr>
          <w:i/>
          <w:sz w:val="20"/>
          <w:szCs w:val="20"/>
          <w:lang w:val="en-US"/>
        </w:rPr>
        <w:t xml:space="preserve">   </w:t>
      </w:r>
      <w:r>
        <w:rPr>
          <w:i/>
          <w:sz w:val="20"/>
          <w:szCs w:val="20"/>
          <w:lang w:val="en-US"/>
        </w:rPr>
        <w:t>&lt;soapenv:Body&gt;</w:t>
      </w:r>
    </w:p>
    <w:p>
      <w:pPr>
        <w:pStyle w:val="Normal"/>
        <w:ind w:left="567" w:hanging="0"/>
        <w:rPr>
          <w:i/>
          <w:i/>
          <w:sz w:val="20"/>
          <w:szCs w:val="20"/>
          <w:lang w:val="en-US"/>
        </w:rPr>
      </w:pPr>
      <w:r>
        <w:rPr>
          <w:i/>
          <w:sz w:val="20"/>
          <w:szCs w:val="20"/>
          <w:lang w:val="en-US"/>
        </w:rPr>
        <w:t xml:space="preserve">      </w:t>
      </w:r>
      <w:r>
        <w:rPr>
          <w:i/>
          <w:sz w:val="20"/>
          <w:szCs w:val="20"/>
          <w:lang w:val="en-US"/>
        </w:rPr>
        <w:t>&lt;soapenv:Fault&gt;</w:t>
      </w:r>
    </w:p>
    <w:p>
      <w:pPr>
        <w:pStyle w:val="Normal"/>
        <w:ind w:left="567" w:hanging="0"/>
        <w:rPr>
          <w:i/>
          <w:i/>
          <w:sz w:val="20"/>
          <w:szCs w:val="20"/>
          <w:lang w:val="en-US"/>
        </w:rPr>
      </w:pPr>
      <w:r>
        <w:rPr>
          <w:i/>
          <w:sz w:val="20"/>
          <w:szCs w:val="20"/>
          <w:lang w:val="en-US"/>
        </w:rPr>
        <w:t xml:space="preserve">         </w:t>
      </w:r>
      <w:r>
        <w:rPr>
          <w:i/>
          <w:sz w:val="20"/>
          <w:szCs w:val="20"/>
          <w:lang w:val="en-US"/>
        </w:rPr>
        <w:t>&lt;faultcode&gt;soapenv:Server&lt;/faultcode&gt;</w:t>
      </w:r>
    </w:p>
    <w:p>
      <w:pPr>
        <w:pStyle w:val="Normal"/>
        <w:ind w:left="567" w:hanging="0"/>
        <w:rPr>
          <w:i/>
          <w:i/>
          <w:sz w:val="20"/>
          <w:szCs w:val="20"/>
          <w:lang w:val="en-US"/>
        </w:rPr>
      </w:pPr>
      <w:r>
        <w:rPr>
          <w:i/>
          <w:sz w:val="20"/>
          <w:szCs w:val="20"/>
          <w:lang w:val="en-US"/>
        </w:rPr>
        <w:t xml:space="preserve">         </w:t>
      </w:r>
      <w:r>
        <w:rPr>
          <w:i/>
          <w:sz w:val="20"/>
          <w:szCs w:val="20"/>
          <w:lang w:val="en-US"/>
        </w:rPr>
        <w:t>&lt;faultstring&gt;-20910:</w:t>
      </w:r>
      <w:r>
        <w:rPr>
          <w:i/>
          <w:color w:val="000000"/>
          <w:sz w:val="20"/>
          <w:szCs w:val="20"/>
          <w:lang w:val="en-US"/>
        </w:rPr>
        <w:t xml:space="preserve"> Token danych jest nieaktualny.</w:t>
      </w:r>
      <w:r>
        <w:rPr>
          <w:i/>
          <w:sz w:val="20"/>
          <w:szCs w:val="20"/>
          <w:lang w:val="en-US"/>
        </w:rPr>
        <w:t xml:space="preserve"> &lt;/faultstring&gt;</w:t>
      </w:r>
    </w:p>
    <w:p>
      <w:pPr>
        <w:pStyle w:val="Normal"/>
        <w:ind w:left="567" w:hanging="0"/>
        <w:rPr>
          <w:i/>
          <w:i/>
          <w:sz w:val="20"/>
          <w:szCs w:val="20"/>
          <w:lang w:val="en-US"/>
        </w:rPr>
      </w:pPr>
      <w:r>
        <w:rPr>
          <w:i/>
          <w:sz w:val="20"/>
          <w:szCs w:val="20"/>
          <w:lang w:val="en-US"/>
        </w:rPr>
        <w:t xml:space="preserve">      </w:t>
      </w:r>
      <w:r>
        <w:rPr>
          <w:i/>
          <w:sz w:val="20"/>
          <w:szCs w:val="20"/>
          <w:lang w:val="en-US"/>
        </w:rPr>
        <w:t>&lt;/soapenv:Fault&gt;</w:t>
      </w:r>
    </w:p>
    <w:p>
      <w:pPr>
        <w:pStyle w:val="Normal"/>
        <w:ind w:left="567" w:hanging="0"/>
        <w:rPr>
          <w:i/>
          <w:i/>
          <w:sz w:val="20"/>
          <w:szCs w:val="20"/>
        </w:rPr>
      </w:pPr>
      <w:r>
        <w:rPr>
          <w:i/>
          <w:sz w:val="20"/>
          <w:szCs w:val="20"/>
          <w:lang w:val="en-US"/>
        </w:rPr>
        <w:t xml:space="preserve">   </w:t>
      </w:r>
      <w:r>
        <w:rPr>
          <w:i/>
          <w:sz w:val="20"/>
          <w:szCs w:val="20"/>
        </w:rPr>
        <w:t>&lt;/soapenv:Body&gt;</w:t>
      </w:r>
    </w:p>
    <w:p>
      <w:pPr>
        <w:pStyle w:val="Normal"/>
        <w:ind w:left="567" w:hanging="0"/>
        <w:rPr>
          <w:i/>
          <w:i/>
          <w:sz w:val="20"/>
          <w:szCs w:val="20"/>
        </w:rPr>
      </w:pPr>
      <w:r>
        <w:rPr>
          <w:i/>
          <w:sz w:val="20"/>
          <w:szCs w:val="20"/>
        </w:rPr>
        <w:t>&lt;/soapenv:Envelope&gt;</w:t>
      </w:r>
    </w:p>
    <w:p>
      <w:pPr>
        <w:pStyle w:val="Normal"/>
        <w:ind w:left="567" w:hanging="0"/>
        <w:rPr>
          <w:color w:val="000000"/>
        </w:rPr>
      </w:pPr>
      <w:r>
        <w:rPr/>
        <w:t xml:space="preserve">W znaczniku „faultstring” przekazywany jest kod błędu i komunikat rozdzielone dwukropkiem. W przypadku wystąpienia błędu nietypowego zwracany jest ogólny kod błędu </w:t>
      </w:r>
      <w:r>
        <w:rPr>
          <w:color w:val="000000"/>
        </w:rPr>
        <w:t>-20999. Głównym powodem wystąpienia tego błędu mogą być dane w komunikacie wejściowym, które naruszają ograniczenia w bazie danych. W przypadku zwrócenia kilku błędów, komunikaty są rozdzielone znakiem „|”. Poniżej przykład zawartości znacznika „faultstring” z dwoma zwróconymi błędami:</w:t>
      </w:r>
    </w:p>
    <w:p>
      <w:pPr>
        <w:pStyle w:val="Normal"/>
        <w:ind w:left="0" w:firstLine="567"/>
        <w:jc w:val="left"/>
        <w:rPr>
          <w:i/>
          <w:i/>
          <w:color w:val="000000"/>
          <w:sz w:val="20"/>
          <w:szCs w:val="20"/>
        </w:rPr>
      </w:pPr>
      <w:r>
        <w:rPr>
          <w:i/>
          <w:sz w:val="20"/>
          <w:szCs w:val="20"/>
        </w:rPr>
        <w:t>&lt;faultstring&gt;-20902:</w:t>
      </w:r>
      <w:r>
        <w:rPr>
          <w:i/>
          <w:color w:val="000000"/>
          <w:sz w:val="20"/>
          <w:szCs w:val="20"/>
        </w:rPr>
        <w:t xml:space="preserve"> Pole "x" musi być wypełnione.|-20903:</w:t>
      </w:r>
      <w:r>
        <w:rPr>
          <w:i/>
          <w:sz w:val="20"/>
          <w:szCs w:val="20"/>
        </w:rPr>
        <w:t xml:space="preserve"> </w:t>
      </w:r>
      <w:r>
        <w:rPr>
          <w:i/>
          <w:color w:val="000000"/>
          <w:sz w:val="20"/>
          <w:szCs w:val="20"/>
        </w:rPr>
        <w:t xml:space="preserve">Pole "x" musi być puste. </w:t>
      </w:r>
      <w:r>
        <w:rPr>
          <w:i/>
          <w:sz w:val="20"/>
          <w:szCs w:val="20"/>
        </w:rPr>
        <w:t>&lt;/faultstring&gt;</w:t>
      </w:r>
    </w:p>
    <w:p>
      <w:pPr>
        <w:pStyle w:val="Nagwek2"/>
        <w:numPr>
          <w:ilvl w:val="1"/>
          <w:numId w:val="2"/>
        </w:numPr>
        <w:rPr/>
      </w:pPr>
      <w:bookmarkStart w:id="83" w:name="_Toc419469115"/>
      <w:bookmarkStart w:id="84" w:name="_Toc426106423"/>
      <w:bookmarkStart w:id="85" w:name="_Toc425944234"/>
      <w:bookmarkEnd w:id="83"/>
      <w:bookmarkEnd w:id="84"/>
      <w:bookmarkEnd w:id="85"/>
      <w:r>
        <w:rPr/>
        <w:t>Sprawdzanie dostępności serwisu</w:t>
      </w:r>
    </w:p>
    <w:p>
      <w:pPr>
        <w:pStyle w:val="Normal"/>
        <w:ind w:left="567" w:hanging="0"/>
        <w:rPr/>
      </w:pPr>
      <w:r>
        <w:rPr/>
        <w:t>Najszybszą metodą weryfikacji dostępności serwisu jest pobranie pliku WSDL z opisem usługi. Poprzez wywołanie z użyciem protokołu https adresu usługi:</w:t>
      </w:r>
    </w:p>
    <w:p>
      <w:pPr>
        <w:pStyle w:val="Normal"/>
        <w:ind w:left="567" w:hanging="0"/>
        <w:rPr/>
      </w:pPr>
      <w:hyperlink r:id="rId4">
        <w:r>
          <w:rPr>
            <w:webHidden/>
            <w:rStyle w:val="Odwiedzoneczeinternetowe"/>
            <w:shd w:fill="FF0000" w:val="clear"/>
          </w:rPr>
          <w:t>https://XXX.XXX.XXX.XX:port/cepik/api/pkk?wsdl</w:t>
        </w:r>
      </w:hyperlink>
    </w:p>
    <w:p>
      <w:pPr>
        <w:pStyle w:val="Normal"/>
        <w:ind w:left="567" w:hanging="0"/>
        <w:rPr/>
      </w:pPr>
      <w:r>
        <w:rPr/>
        <w:t>W przypadku gdy usługa jest dostępna plik zostanie pobrany a transfer zakończy się ze statusem 200. W przypadku niedostępności usługi zwrócony zostanie inny status (np.: 404, 500).</w:t>
      </w:r>
    </w:p>
    <w:p>
      <w:pPr>
        <w:pStyle w:val="Normal"/>
        <w:ind w:left="567" w:hanging="0"/>
        <w:rPr/>
      </w:pPr>
      <w:r>
        <w:rPr/>
        <w:t>Dokładny adres usługi będzie określony w momencie uruchomienia usługi.</w:t>
      </w:r>
    </w:p>
    <w:p>
      <w:pPr>
        <w:pStyle w:val="Nagwek2"/>
        <w:numPr>
          <w:ilvl w:val="1"/>
          <w:numId w:val="2"/>
        </w:numPr>
        <w:rPr/>
      </w:pPr>
      <w:bookmarkStart w:id="86" w:name="_Toc419469116"/>
      <w:bookmarkStart w:id="87" w:name="_Toc426106424"/>
      <w:bookmarkStart w:id="88" w:name="_Toc425944235"/>
      <w:r>
        <w:rPr>
          <w:lang w:val="pl-PL"/>
        </w:rPr>
        <w:t>Obsługa tokenów aktualności danych</w:t>
      </w:r>
      <w:bookmarkEnd w:id="87"/>
      <w:bookmarkEnd w:id="88"/>
      <w:bookmarkEnd w:id="86"/>
      <w:r>
        <w:rPr>
          <w:lang w:val="pl-PL"/>
        </w:rPr>
        <w:t xml:space="preserve"> </w:t>
      </w:r>
    </w:p>
    <w:p>
      <w:pPr>
        <w:pStyle w:val="Normal"/>
        <w:ind w:left="567" w:hanging="0"/>
        <w:rPr/>
      </w:pPr>
      <w:r>
        <w:rPr/>
        <w:t>Tokeny są unikalnymi identyfikatorami w postaci łańcucha znaków, które służą do sprawdzenia podczas zapisu lub modyfikacji, czy dane nie uległy zmianie przez modyfikację danych wykonaną przez innego użytkownika. W przypadku niezgodności tokenu zwracany jest komunikat o nieaktualności tokenu. W takiej sytuacji należy ponowne pobrać dane i dopiero po weryfikacji wykonać zapis lub modyfikację danych przekazując prawidłowy komunikat do usługi. Mechanizm tokenów gwarantuje, że zapis danych możliwy jest wyłącznie w sytuacji, kiedy użytkownik pracował na aktualnych danych .</w:t>
      </w:r>
    </w:p>
    <w:p>
      <w:pPr>
        <w:pStyle w:val="Nagwek1"/>
        <w:numPr>
          <w:ilvl w:val="0"/>
          <w:numId w:val="2"/>
        </w:numPr>
        <w:rPr>
          <w:b w:val="false"/>
          <w:b w:val="false"/>
          <w:szCs w:val="36"/>
        </w:rPr>
      </w:pPr>
      <w:bookmarkStart w:id="89" w:name="_Toc426106425"/>
      <w:bookmarkStart w:id="90" w:name="_Toc419469117"/>
      <w:bookmarkEnd w:id="89"/>
      <w:bookmarkEnd w:id="90"/>
      <w:r>
        <w:rPr>
          <w:b w:val="false"/>
          <w:szCs w:val="36"/>
        </w:rPr>
        <w:t>Specyfikacja metod usługi</w:t>
      </w:r>
    </w:p>
    <w:p>
      <w:pPr>
        <w:pStyle w:val="Normal"/>
        <w:ind w:left="0" w:hanging="0"/>
        <w:rPr/>
      </w:pPr>
      <w:r>
        <w:rPr/>
        <w:t xml:space="preserve">Dane udostępniane przez interfejs PKK dotyczą prezentacji stanu aktualnego. Historia zmian danych nie jest dostępna za pośrednictwem tego interfejsu. Szczegóły typów danych w komunikatach wejściowych i wyjściowych znajdują się w dokumentach załączonych w punkcie 8.2. </w:t>
      </w:r>
    </w:p>
    <w:p>
      <w:pPr>
        <w:pStyle w:val="Normal"/>
        <w:ind w:left="0" w:hanging="0"/>
        <w:rPr/>
      </w:pPr>
      <w:r>
        <w:rPr/>
        <w:t>Komunikaty wejściowe i wyjściowe w usługach prezentuje poniższa tabela.</w:t>
      </w:r>
      <w:bookmarkStart w:id="91" w:name="_Toc419469118"/>
      <w:bookmarkStart w:id="92" w:name="_Toc419465948"/>
      <w:bookmarkStart w:id="93" w:name="_Toc419465869"/>
      <w:bookmarkStart w:id="94" w:name="_Toc419465797"/>
      <w:bookmarkStart w:id="95" w:name="_Toc419465923"/>
      <w:bookmarkStart w:id="96" w:name="_Toc419465844"/>
      <w:bookmarkStart w:id="97" w:name="_Toc419465772"/>
      <w:bookmarkEnd w:id="92"/>
      <w:bookmarkEnd w:id="93"/>
      <w:bookmarkEnd w:id="94"/>
      <w:bookmarkEnd w:id="95"/>
      <w:bookmarkEnd w:id="96"/>
      <w:bookmarkEnd w:id="97"/>
      <w:r>
        <w:rPr/>
        <w:t xml:space="preserve"> </w:t>
      </w:r>
    </w:p>
    <w:tbl>
      <w:tblPr>
        <w:tblW w:w="11152" w:type="dxa"/>
        <w:jc w:val="left"/>
        <w:tblInd w:w="-767"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0" w:type="dxa"/>
          <w:left w:w="60" w:type="dxa"/>
          <w:bottom w:w="0" w:type="dxa"/>
          <w:right w:w="70" w:type="dxa"/>
        </w:tblCellMar>
        <w:tblLook w:noVBand="1" w:val="04a0" w:noHBand="0" w:lastColumn="0" w:firstColumn="1" w:lastRow="0" w:firstRow="1"/>
      </w:tblPr>
      <w:tblGrid>
        <w:gridCol w:w="3298"/>
        <w:gridCol w:w="3544"/>
        <w:gridCol w:w="4310"/>
      </w:tblGrid>
      <w:tr>
        <w:trPr>
          <w:trHeight w:val="300" w:hRule="atLeast"/>
        </w:trPr>
        <w:tc>
          <w:tcPr>
            <w:tcW w:w="3298" w:type="dxa"/>
            <w:tcBorders>
              <w:top w:val="single" w:sz="8" w:space="0" w:color="00000A"/>
              <w:left w:val="single" w:sz="8" w:space="0" w:color="00000A"/>
              <w:bottom w:val="single" w:sz="8" w:space="0" w:color="00000A"/>
              <w:right w:val="single" w:sz="8" w:space="0" w:color="00000A"/>
              <w:insideH w:val="single" w:sz="8" w:space="0" w:color="00000A"/>
              <w:insideV w:val="single" w:sz="8" w:space="0" w:color="00000A"/>
            </w:tcBorders>
            <w:shd w:color="000000" w:fill="63849B" w:val="clear"/>
            <w:tcMar>
              <w:left w:w="60" w:type="dxa"/>
            </w:tcMar>
            <w:vAlign w:val="center"/>
          </w:tcPr>
          <w:p>
            <w:pPr>
              <w:pStyle w:val="Normal"/>
              <w:spacing w:lineRule="auto" w:line="240"/>
              <w:ind w:left="0" w:firstLine="201"/>
              <w:jc w:val="left"/>
              <w:rPr>
                <w:b/>
                <w:b/>
                <w:bCs/>
                <w:color w:val="FFFFFF"/>
                <w:sz w:val="20"/>
                <w:szCs w:val="20"/>
              </w:rPr>
            </w:pPr>
            <w:r>
              <w:rPr>
                <w:b/>
                <w:bCs/>
                <w:color w:val="FFFFFF" w:themeColor="background1"/>
                <w:sz w:val="20"/>
                <w:szCs w:val="20"/>
                <w:lang w:eastAsia="en-US"/>
              </w:rPr>
              <w:t>Usługa</w:t>
            </w:r>
          </w:p>
        </w:tc>
        <w:tc>
          <w:tcPr>
            <w:tcW w:w="3544" w:type="dxa"/>
            <w:tcBorders>
              <w:top w:val="single" w:sz="8" w:space="0" w:color="00000A"/>
              <w:bottom w:val="single" w:sz="8" w:space="0" w:color="00000A"/>
              <w:right w:val="single" w:sz="8" w:space="0" w:color="00000A"/>
              <w:insideH w:val="single" w:sz="8" w:space="0" w:color="00000A"/>
              <w:insideV w:val="single" w:sz="8" w:space="0" w:color="00000A"/>
            </w:tcBorders>
            <w:shd w:color="000000" w:fill="63849B" w:val="clear"/>
            <w:vAlign w:val="center"/>
          </w:tcPr>
          <w:p>
            <w:pPr>
              <w:pStyle w:val="Normal"/>
              <w:spacing w:lineRule="auto" w:line="240"/>
              <w:ind w:left="0" w:firstLine="201"/>
              <w:jc w:val="left"/>
              <w:rPr>
                <w:b/>
                <w:b/>
                <w:bCs/>
                <w:color w:val="FFFFFF"/>
                <w:sz w:val="20"/>
                <w:szCs w:val="20"/>
              </w:rPr>
            </w:pPr>
            <w:r>
              <w:rPr>
                <w:b/>
                <w:bCs/>
                <w:color w:val="FFFFFF" w:themeColor="background1"/>
                <w:sz w:val="20"/>
                <w:szCs w:val="20"/>
                <w:lang w:eastAsia="en-US"/>
              </w:rPr>
              <w:t>Komunikat wejściowy</w:t>
            </w:r>
          </w:p>
        </w:tc>
        <w:tc>
          <w:tcPr>
            <w:tcW w:w="4310" w:type="dxa"/>
            <w:tcBorders>
              <w:top w:val="single" w:sz="8" w:space="0" w:color="00000A"/>
              <w:bottom w:val="single" w:sz="8" w:space="0" w:color="00000A"/>
              <w:right w:val="single" w:sz="8" w:space="0" w:color="00000A"/>
              <w:insideH w:val="single" w:sz="8" w:space="0" w:color="00000A"/>
              <w:insideV w:val="single" w:sz="8" w:space="0" w:color="00000A"/>
            </w:tcBorders>
            <w:shd w:color="000000" w:fill="63849B" w:val="clear"/>
            <w:vAlign w:val="center"/>
          </w:tcPr>
          <w:p>
            <w:pPr>
              <w:pStyle w:val="Normal"/>
              <w:spacing w:lineRule="auto" w:line="240"/>
              <w:ind w:left="0" w:firstLine="201"/>
              <w:jc w:val="left"/>
              <w:rPr>
                <w:b/>
                <w:b/>
                <w:bCs/>
                <w:color w:val="FFFFFF"/>
                <w:sz w:val="20"/>
                <w:szCs w:val="20"/>
              </w:rPr>
            </w:pPr>
            <w:r>
              <w:rPr>
                <w:b/>
                <w:bCs/>
                <w:color w:val="FFFFFF" w:themeColor="background1"/>
                <w:sz w:val="20"/>
                <w:szCs w:val="20"/>
                <w:lang w:eastAsia="en-US"/>
              </w:rPr>
              <w:t>Komunikat wyjściowy</w:t>
            </w:r>
          </w:p>
        </w:tc>
      </w:tr>
      <w:tr>
        <w:trPr>
          <w:trHeight w:val="288" w:hRule="atLeast"/>
        </w:trPr>
        <w:tc>
          <w:tcPr>
            <w:tcW w:w="3298" w:type="dxa"/>
            <w:tcBorders>
              <w:left w:val="single" w:sz="8" w:space="0" w:color="00000A"/>
            </w:tcBorders>
            <w:shd w:color="auto" w:fill="auto" w:val="clear"/>
            <w:tcMar>
              <w:left w:w="60" w:type="dxa"/>
            </w:tcMar>
            <w:vAlign w:val="bottom"/>
          </w:tcPr>
          <w:p>
            <w:pPr>
              <w:pStyle w:val="Normal"/>
              <w:spacing w:lineRule="auto" w:line="240"/>
              <w:ind w:left="0" w:hanging="0"/>
              <w:jc w:val="left"/>
              <w:rPr>
                <w:color w:val="000000"/>
                <w:sz w:val="20"/>
                <w:szCs w:val="20"/>
              </w:rPr>
            </w:pPr>
            <w:r>
              <w:rPr>
                <w:color w:val="000000"/>
                <w:sz w:val="20"/>
                <w:szCs w:val="20"/>
              </w:rPr>
              <w:t>pytanieOPkk</w:t>
            </w:r>
          </w:p>
        </w:tc>
        <w:tc>
          <w:tcPr>
            <w:tcW w:w="3544" w:type="dxa"/>
            <w:tcBorders>
              <w:left w:val="single" w:sz="8" w:space="0" w:color="00000A"/>
              <w:right w:val="single" w:sz="8" w:space="0" w:color="00000A"/>
              <w:insideV w:val="single" w:sz="8" w:space="0" w:color="00000A"/>
            </w:tcBorders>
            <w:shd w:color="auto" w:fill="auto" w:val="clear"/>
            <w:tcMar>
              <w:left w:w="60" w:type="dxa"/>
            </w:tcMar>
            <w:vAlign w:val="bottom"/>
          </w:tcPr>
          <w:p>
            <w:pPr>
              <w:pStyle w:val="Normal"/>
              <w:spacing w:lineRule="auto" w:line="240"/>
              <w:ind w:left="0" w:hanging="0"/>
              <w:jc w:val="left"/>
              <w:rPr>
                <w:color w:val="000000"/>
                <w:sz w:val="20"/>
                <w:szCs w:val="20"/>
              </w:rPr>
            </w:pPr>
            <w:r>
              <w:rPr>
                <w:color w:val="000000"/>
                <w:sz w:val="20"/>
                <w:szCs w:val="20"/>
              </w:rPr>
              <w:t>pkk:pytanieOPkk</w:t>
            </w:r>
          </w:p>
        </w:tc>
        <w:tc>
          <w:tcPr>
            <w:tcW w:w="4310" w:type="dxa"/>
            <w:tcBorders>
              <w:right w:val="single" w:sz="8" w:space="0" w:color="00000A"/>
              <w:insideV w:val="single" w:sz="8" w:space="0" w:color="00000A"/>
            </w:tcBorders>
            <w:shd w:color="auto" w:fill="auto" w:val="clear"/>
            <w:vAlign w:val="bottom"/>
          </w:tcPr>
          <w:p>
            <w:pPr>
              <w:pStyle w:val="Normal"/>
              <w:spacing w:lineRule="auto" w:line="240"/>
              <w:ind w:left="0" w:hanging="0"/>
              <w:jc w:val="left"/>
              <w:rPr>
                <w:color w:val="000000"/>
                <w:sz w:val="20"/>
                <w:szCs w:val="20"/>
              </w:rPr>
            </w:pPr>
            <w:r>
              <w:rPr>
                <w:color w:val="000000"/>
                <w:sz w:val="20"/>
                <w:szCs w:val="20"/>
              </w:rPr>
              <w:t>pkk:pytanieOPkkRezultat</w:t>
            </w:r>
          </w:p>
        </w:tc>
      </w:tr>
      <w:tr>
        <w:trPr>
          <w:trHeight w:val="288" w:hRule="atLeast"/>
        </w:trPr>
        <w:tc>
          <w:tcPr>
            <w:tcW w:w="3298" w:type="dxa"/>
            <w:tcBorders>
              <w:left w:val="single" w:sz="8" w:space="0" w:color="00000A"/>
            </w:tcBorders>
            <w:shd w:color="000000" w:fill="DAEEF3" w:val="clear"/>
            <w:tcMar>
              <w:left w:w="60" w:type="dxa"/>
            </w:tcMar>
            <w:vAlign w:val="bottom"/>
          </w:tcPr>
          <w:p>
            <w:pPr>
              <w:pStyle w:val="Normal"/>
              <w:spacing w:lineRule="auto" w:line="240"/>
              <w:ind w:left="0" w:hanging="0"/>
              <w:jc w:val="left"/>
              <w:rPr>
                <w:color w:val="000000"/>
                <w:sz w:val="20"/>
                <w:szCs w:val="20"/>
              </w:rPr>
            </w:pPr>
            <w:r>
              <w:rPr>
                <w:color w:val="000000"/>
                <w:sz w:val="20"/>
                <w:szCs w:val="20"/>
              </w:rPr>
              <w:t>zapisRezerwacjaPkk</w:t>
            </w:r>
          </w:p>
        </w:tc>
        <w:tc>
          <w:tcPr>
            <w:tcW w:w="3544" w:type="dxa"/>
            <w:tcBorders>
              <w:left w:val="single" w:sz="8" w:space="0" w:color="00000A"/>
              <w:right w:val="single" w:sz="8" w:space="0" w:color="00000A"/>
              <w:insideV w:val="single" w:sz="8" w:space="0" w:color="00000A"/>
            </w:tcBorders>
            <w:shd w:color="000000" w:fill="DAEEF3" w:val="clear"/>
            <w:tcMar>
              <w:left w:w="60" w:type="dxa"/>
            </w:tcMar>
            <w:vAlign w:val="bottom"/>
          </w:tcPr>
          <w:p>
            <w:pPr>
              <w:pStyle w:val="Normal"/>
              <w:spacing w:lineRule="auto" w:line="240"/>
              <w:ind w:left="0" w:hanging="0"/>
              <w:jc w:val="left"/>
              <w:rPr>
                <w:color w:val="000000"/>
                <w:sz w:val="20"/>
                <w:szCs w:val="20"/>
              </w:rPr>
            </w:pPr>
            <w:r>
              <w:rPr>
                <w:color w:val="000000"/>
                <w:sz w:val="20"/>
                <w:szCs w:val="20"/>
              </w:rPr>
              <w:t>pkk:zapisRezerwacjaPkk</w:t>
            </w:r>
          </w:p>
        </w:tc>
        <w:tc>
          <w:tcPr>
            <w:tcW w:w="4310" w:type="dxa"/>
            <w:tcBorders>
              <w:right w:val="single" w:sz="8" w:space="0" w:color="00000A"/>
              <w:insideV w:val="single" w:sz="8" w:space="0" w:color="00000A"/>
            </w:tcBorders>
            <w:shd w:color="000000" w:fill="DAEEF3" w:val="clear"/>
            <w:vAlign w:val="bottom"/>
          </w:tcPr>
          <w:p>
            <w:pPr>
              <w:pStyle w:val="Normal"/>
              <w:spacing w:lineRule="auto" w:line="240"/>
              <w:ind w:left="0" w:hanging="0"/>
              <w:jc w:val="left"/>
              <w:rPr>
                <w:color w:val="000000"/>
                <w:sz w:val="20"/>
                <w:szCs w:val="20"/>
              </w:rPr>
            </w:pPr>
            <w:r>
              <w:rPr>
                <w:color w:val="000000"/>
                <w:sz w:val="20"/>
                <w:szCs w:val="20"/>
              </w:rPr>
              <w:t>pkk:zapisRezerwacjaPkkRezultat</w:t>
            </w:r>
          </w:p>
        </w:tc>
      </w:tr>
      <w:tr>
        <w:trPr>
          <w:trHeight w:val="288" w:hRule="atLeast"/>
        </w:trPr>
        <w:tc>
          <w:tcPr>
            <w:tcW w:w="3298" w:type="dxa"/>
            <w:tcBorders>
              <w:left w:val="single" w:sz="8" w:space="0" w:color="00000A"/>
            </w:tcBorders>
            <w:shd w:color="auto" w:fill="auto" w:val="clear"/>
            <w:tcMar>
              <w:left w:w="60" w:type="dxa"/>
            </w:tcMar>
            <w:vAlign w:val="bottom"/>
          </w:tcPr>
          <w:p>
            <w:pPr>
              <w:pStyle w:val="Normal"/>
              <w:spacing w:lineRule="auto" w:line="240"/>
              <w:ind w:left="0" w:hanging="0"/>
              <w:jc w:val="left"/>
              <w:rPr>
                <w:color w:val="000000"/>
                <w:sz w:val="20"/>
                <w:szCs w:val="20"/>
              </w:rPr>
            </w:pPr>
            <w:r>
              <w:rPr>
                <w:color w:val="000000"/>
                <w:sz w:val="20"/>
                <w:szCs w:val="20"/>
              </w:rPr>
              <w:t>zapisUwolnieniePkk</w:t>
            </w:r>
          </w:p>
        </w:tc>
        <w:tc>
          <w:tcPr>
            <w:tcW w:w="3544" w:type="dxa"/>
            <w:tcBorders>
              <w:left w:val="single" w:sz="8" w:space="0" w:color="00000A"/>
              <w:right w:val="single" w:sz="8" w:space="0" w:color="00000A"/>
              <w:insideV w:val="single" w:sz="8" w:space="0" w:color="00000A"/>
            </w:tcBorders>
            <w:shd w:color="auto" w:fill="auto" w:val="clear"/>
            <w:tcMar>
              <w:left w:w="60" w:type="dxa"/>
            </w:tcMar>
            <w:vAlign w:val="bottom"/>
          </w:tcPr>
          <w:p>
            <w:pPr>
              <w:pStyle w:val="Normal"/>
              <w:spacing w:lineRule="auto" w:line="240"/>
              <w:ind w:left="0" w:hanging="0"/>
              <w:jc w:val="left"/>
              <w:rPr>
                <w:color w:val="000000"/>
                <w:sz w:val="20"/>
                <w:szCs w:val="20"/>
              </w:rPr>
            </w:pPr>
            <w:r>
              <w:rPr>
                <w:color w:val="000000"/>
                <w:sz w:val="20"/>
                <w:szCs w:val="20"/>
              </w:rPr>
              <w:t>pkk:zapisUwolnieniePkk</w:t>
            </w:r>
          </w:p>
        </w:tc>
        <w:tc>
          <w:tcPr>
            <w:tcW w:w="4310" w:type="dxa"/>
            <w:tcBorders>
              <w:right w:val="single" w:sz="8" w:space="0" w:color="00000A"/>
              <w:insideV w:val="single" w:sz="8" w:space="0" w:color="00000A"/>
            </w:tcBorders>
            <w:shd w:color="auto" w:fill="auto" w:val="clear"/>
            <w:vAlign w:val="bottom"/>
          </w:tcPr>
          <w:p>
            <w:pPr>
              <w:pStyle w:val="Normal"/>
              <w:spacing w:lineRule="auto" w:line="240"/>
              <w:ind w:left="0" w:hanging="0"/>
              <w:jc w:val="left"/>
              <w:rPr>
                <w:color w:val="000000"/>
                <w:sz w:val="20"/>
                <w:szCs w:val="20"/>
              </w:rPr>
            </w:pPr>
            <w:r>
              <w:rPr>
                <w:color w:val="000000"/>
                <w:sz w:val="20"/>
                <w:szCs w:val="20"/>
              </w:rPr>
              <w:t>pkk:zapisUwolnieniePkkRezultat</w:t>
            </w:r>
          </w:p>
        </w:tc>
      </w:tr>
      <w:tr>
        <w:trPr>
          <w:trHeight w:val="288" w:hRule="atLeast"/>
        </w:trPr>
        <w:tc>
          <w:tcPr>
            <w:tcW w:w="3298" w:type="dxa"/>
            <w:tcBorders>
              <w:left w:val="single" w:sz="8" w:space="0" w:color="00000A"/>
            </w:tcBorders>
            <w:shd w:color="000000" w:fill="DAEEF3" w:val="clear"/>
            <w:tcMar>
              <w:left w:w="60" w:type="dxa"/>
            </w:tcMar>
            <w:vAlign w:val="bottom"/>
          </w:tcPr>
          <w:p>
            <w:pPr>
              <w:pStyle w:val="Normal"/>
              <w:spacing w:lineRule="auto" w:line="240"/>
              <w:ind w:left="0" w:hanging="0"/>
              <w:jc w:val="left"/>
              <w:rPr>
                <w:color w:val="000000"/>
                <w:sz w:val="20"/>
                <w:szCs w:val="20"/>
              </w:rPr>
            </w:pPr>
            <w:r>
              <w:rPr>
                <w:color w:val="000000"/>
                <w:sz w:val="20"/>
                <w:szCs w:val="20"/>
              </w:rPr>
              <w:t>zapisPrzekazanieDanychKursuKnk</w:t>
            </w:r>
          </w:p>
        </w:tc>
        <w:tc>
          <w:tcPr>
            <w:tcW w:w="3544" w:type="dxa"/>
            <w:tcBorders>
              <w:left w:val="single" w:sz="8" w:space="0" w:color="00000A"/>
              <w:right w:val="single" w:sz="8" w:space="0" w:color="00000A"/>
              <w:insideV w:val="single" w:sz="8" w:space="0" w:color="00000A"/>
            </w:tcBorders>
            <w:shd w:color="000000" w:fill="DAEEF3" w:val="clear"/>
            <w:tcMar>
              <w:left w:w="60" w:type="dxa"/>
            </w:tcMar>
            <w:vAlign w:val="bottom"/>
          </w:tcPr>
          <w:p>
            <w:pPr>
              <w:pStyle w:val="Normal"/>
              <w:spacing w:lineRule="auto" w:line="240"/>
              <w:ind w:left="0" w:hanging="0"/>
              <w:jc w:val="left"/>
              <w:rPr>
                <w:color w:val="000000"/>
                <w:sz w:val="20"/>
                <w:szCs w:val="20"/>
              </w:rPr>
            </w:pPr>
            <w:r>
              <w:rPr>
                <w:color w:val="000000"/>
                <w:sz w:val="20"/>
                <w:szCs w:val="20"/>
              </w:rPr>
              <w:t>pkk:zapisPrzekazanieDanychKursuKnk</w:t>
            </w:r>
          </w:p>
        </w:tc>
        <w:tc>
          <w:tcPr>
            <w:tcW w:w="4310" w:type="dxa"/>
            <w:tcBorders>
              <w:right w:val="single" w:sz="8" w:space="0" w:color="00000A"/>
              <w:insideV w:val="single" w:sz="8" w:space="0" w:color="00000A"/>
            </w:tcBorders>
            <w:shd w:color="000000" w:fill="DAEEF3" w:val="clear"/>
            <w:vAlign w:val="bottom"/>
          </w:tcPr>
          <w:p>
            <w:pPr>
              <w:pStyle w:val="Normal"/>
              <w:spacing w:lineRule="auto" w:line="240"/>
              <w:ind w:left="0" w:hanging="0"/>
              <w:jc w:val="left"/>
              <w:rPr>
                <w:color w:val="000000"/>
                <w:sz w:val="20"/>
                <w:szCs w:val="20"/>
              </w:rPr>
            </w:pPr>
            <w:r>
              <w:rPr>
                <w:color w:val="000000"/>
                <w:sz w:val="20"/>
                <w:szCs w:val="20"/>
              </w:rPr>
              <w:t>pkk:zapisPrzekazanieDanychKursuKnkRezultat</w:t>
            </w:r>
          </w:p>
        </w:tc>
      </w:tr>
      <w:tr>
        <w:trPr>
          <w:trHeight w:val="300" w:hRule="atLeast"/>
        </w:trPr>
        <w:tc>
          <w:tcPr>
            <w:tcW w:w="3298" w:type="dxa"/>
            <w:tcBorders>
              <w:left w:val="single" w:sz="8" w:space="0" w:color="00000A"/>
              <w:bottom w:val="single" w:sz="8" w:space="0" w:color="00000A"/>
              <w:insideH w:val="single" w:sz="8" w:space="0" w:color="00000A"/>
            </w:tcBorders>
            <w:shd w:color="auto" w:fill="auto" w:val="clear"/>
            <w:tcMar>
              <w:left w:w="60" w:type="dxa"/>
            </w:tcMar>
            <w:vAlign w:val="bottom"/>
          </w:tcPr>
          <w:p>
            <w:pPr>
              <w:pStyle w:val="Normal"/>
              <w:spacing w:lineRule="auto" w:line="240"/>
              <w:ind w:left="0" w:hanging="0"/>
              <w:jc w:val="left"/>
              <w:rPr>
                <w:color w:val="000000"/>
                <w:sz w:val="20"/>
                <w:szCs w:val="20"/>
              </w:rPr>
            </w:pPr>
            <w:r>
              <w:rPr>
                <w:color w:val="000000"/>
                <w:sz w:val="20"/>
                <w:szCs w:val="20"/>
              </w:rPr>
              <w:t>zapisPrzekazanieDanychEgzaminuKnk</w:t>
            </w:r>
          </w:p>
        </w:tc>
        <w:tc>
          <w:tcPr>
            <w:tcW w:w="3544"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bottom"/>
          </w:tcPr>
          <w:p>
            <w:pPr>
              <w:pStyle w:val="Normal"/>
              <w:spacing w:lineRule="auto" w:line="240"/>
              <w:ind w:left="0" w:hanging="0"/>
              <w:jc w:val="left"/>
              <w:rPr>
                <w:color w:val="000000"/>
                <w:sz w:val="20"/>
                <w:szCs w:val="20"/>
              </w:rPr>
            </w:pPr>
            <w:r>
              <w:rPr>
                <w:color w:val="000000"/>
                <w:sz w:val="20"/>
                <w:szCs w:val="20"/>
              </w:rPr>
              <w:t>pkk:zapisPrzekazanieDanychEgzaminuKnk</w:t>
            </w:r>
          </w:p>
        </w:tc>
        <w:tc>
          <w:tcPr>
            <w:tcW w:w="4310" w:type="dxa"/>
            <w:tcBorders>
              <w:bottom w:val="single" w:sz="8" w:space="0" w:color="00000A"/>
              <w:right w:val="single" w:sz="8" w:space="0" w:color="00000A"/>
              <w:insideH w:val="single" w:sz="8" w:space="0" w:color="00000A"/>
              <w:insideV w:val="single" w:sz="8" w:space="0" w:color="00000A"/>
            </w:tcBorders>
            <w:shd w:color="auto" w:fill="auto" w:val="clear"/>
            <w:vAlign w:val="bottom"/>
          </w:tcPr>
          <w:p>
            <w:pPr>
              <w:pStyle w:val="Normal"/>
              <w:spacing w:lineRule="auto" w:line="240"/>
              <w:ind w:left="0" w:hanging="0"/>
              <w:jc w:val="left"/>
              <w:rPr>
                <w:color w:val="000000"/>
                <w:sz w:val="20"/>
                <w:szCs w:val="20"/>
              </w:rPr>
            </w:pPr>
            <w:r>
              <w:rPr>
                <w:color w:val="000000"/>
                <w:sz w:val="20"/>
                <w:szCs w:val="20"/>
              </w:rPr>
              <w:t>pkk:zapisPrzekazanieDanychEgzaminuKnkRezultat</w:t>
            </w:r>
          </w:p>
        </w:tc>
      </w:tr>
    </w:tbl>
    <w:p>
      <w:pPr>
        <w:pStyle w:val="Normal"/>
        <w:ind w:left="0" w:hanging="0"/>
        <w:rPr/>
      </w:pPr>
      <w:r>
        <w:rPr/>
      </w:r>
    </w:p>
    <w:p>
      <w:pPr>
        <w:pStyle w:val="Normal"/>
        <w:spacing w:lineRule="auto" w:line="240"/>
        <w:rPr>
          <w:b/>
          <w:b/>
          <w:bCs/>
          <w:color w:val="63849B"/>
          <w:sz w:val="28"/>
          <w:szCs w:val="26"/>
          <w:lang w:val="x-none" w:eastAsia="zh-CN"/>
        </w:rPr>
      </w:pPr>
      <w:r>
        <w:rPr>
          <w:b/>
          <w:bCs/>
          <w:color w:val="63849B"/>
          <w:sz w:val="28"/>
          <w:szCs w:val="26"/>
          <w:lang w:val="x-none" w:eastAsia="zh-CN"/>
        </w:rPr>
      </w:r>
      <w:r>
        <w:br w:type="page"/>
      </w:r>
    </w:p>
    <w:p>
      <w:pPr>
        <w:pStyle w:val="Nagwek2"/>
        <w:numPr>
          <w:ilvl w:val="1"/>
          <w:numId w:val="2"/>
        </w:numPr>
        <w:rPr>
          <w:lang w:val="pl-PL"/>
        </w:rPr>
      </w:pPr>
      <w:bookmarkStart w:id="98" w:name="_Toc426106426"/>
      <w:r>
        <w:rPr/>
        <w:t>Metod</w:t>
      </w:r>
      <w:bookmarkEnd w:id="91"/>
      <w:bookmarkEnd w:id="98"/>
      <w:r>
        <w:rPr>
          <w:lang w:val="pl-PL"/>
        </w:rPr>
        <w:t>a pytanieOPkk</w:t>
      </w:r>
    </w:p>
    <w:p>
      <w:pPr>
        <w:pStyle w:val="Normal"/>
        <w:ind w:left="221" w:firstLine="346"/>
        <w:rPr>
          <w:lang w:eastAsia="zh-CN"/>
        </w:rPr>
      </w:pPr>
      <w:r>
        <w:rPr>
          <w:lang w:eastAsia="zh-CN"/>
        </w:rPr>
        <w:t>Minimalny zakres danych wejściowych to:</w:t>
      </w:r>
    </w:p>
    <w:p>
      <w:pPr>
        <w:pStyle w:val="ListParagraph"/>
        <w:numPr>
          <w:ilvl w:val="0"/>
          <w:numId w:val="4"/>
        </w:numPr>
        <w:ind w:left="993" w:hanging="426"/>
        <w:rPr>
          <w:lang w:eastAsia="zh-CN"/>
        </w:rPr>
      </w:pPr>
      <w:r>
        <w:rPr>
          <w:lang w:eastAsia="zh-CN"/>
        </w:rPr>
        <w:t>Numer PKK i numer PESEL kandydata lub</w:t>
      </w:r>
    </w:p>
    <w:p>
      <w:pPr>
        <w:pStyle w:val="ListParagraph"/>
        <w:numPr>
          <w:ilvl w:val="0"/>
          <w:numId w:val="4"/>
        </w:numPr>
        <w:ind w:left="993" w:hanging="426"/>
        <w:rPr>
          <w:lang w:eastAsia="zh-CN"/>
        </w:rPr>
      </w:pPr>
      <w:r>
        <w:rPr>
          <w:lang w:eastAsia="zh-CN"/>
        </w:rPr>
        <w:t>Numer PKK i data urodzenia kandydata</w:t>
      </w:r>
    </w:p>
    <w:p>
      <w:pPr>
        <w:pStyle w:val="Normal"/>
        <w:ind w:left="221" w:firstLine="346"/>
        <w:rPr>
          <w:lang w:eastAsia="zh-CN"/>
        </w:rPr>
      </w:pPr>
      <w:r>
        <w:rPr>
          <w:lang w:eastAsia="zh-CN"/>
        </w:rPr>
        <w:t>Dla sprawdzenia można dodatkowo podawać datę urodzenia kandydata.</w:t>
      </w:r>
    </w:p>
    <w:p>
      <w:pPr>
        <w:pStyle w:val="Normal"/>
        <w:ind w:left="221" w:firstLine="346"/>
        <w:rPr>
          <w:lang w:eastAsia="zh-CN"/>
        </w:rPr>
      </w:pPr>
      <w:r>
        <w:rPr>
          <w:lang w:eastAsia="zh-CN"/>
        </w:rPr>
        <w:t>Metoda zwraca pełną informację o PKK, w tym:</w:t>
      </w:r>
    </w:p>
    <w:p>
      <w:pPr>
        <w:pStyle w:val="ListParagraph"/>
        <w:numPr>
          <w:ilvl w:val="0"/>
          <w:numId w:val="5"/>
        </w:numPr>
        <w:ind w:left="993" w:hanging="426"/>
        <w:rPr>
          <w:lang w:eastAsia="zh-CN"/>
        </w:rPr>
      </w:pPr>
      <w:r>
        <w:rPr>
          <w:lang w:eastAsia="zh-CN"/>
        </w:rPr>
        <w:t>Dane osobowe kandydata</w:t>
      </w:r>
    </w:p>
    <w:p>
      <w:pPr>
        <w:pStyle w:val="ListParagraph"/>
        <w:numPr>
          <w:ilvl w:val="0"/>
          <w:numId w:val="5"/>
        </w:numPr>
        <w:ind w:left="993" w:hanging="426"/>
        <w:rPr>
          <w:lang w:eastAsia="zh-CN"/>
        </w:rPr>
      </w:pPr>
      <w:r>
        <w:rPr>
          <w:lang w:eastAsia="zh-CN"/>
        </w:rPr>
        <w:t>Dane o posiadanych uprawnieniach</w:t>
      </w:r>
    </w:p>
    <w:p>
      <w:pPr>
        <w:pStyle w:val="ListParagraph"/>
        <w:numPr>
          <w:ilvl w:val="0"/>
          <w:numId w:val="5"/>
        </w:numPr>
        <w:ind w:left="993" w:hanging="426"/>
        <w:rPr>
          <w:lang w:eastAsia="zh-CN"/>
        </w:rPr>
      </w:pPr>
      <w:r>
        <w:rPr>
          <w:lang w:eastAsia="zh-CN"/>
        </w:rPr>
        <w:t>Dane o orzeczeniach lekarskich i psychologicznych</w:t>
      </w:r>
    </w:p>
    <w:p>
      <w:pPr>
        <w:pStyle w:val="ListParagraph"/>
        <w:numPr>
          <w:ilvl w:val="0"/>
          <w:numId w:val="5"/>
        </w:numPr>
        <w:ind w:left="993" w:hanging="426"/>
        <w:rPr>
          <w:lang w:eastAsia="zh-CN"/>
        </w:rPr>
      </w:pPr>
      <w:r>
        <w:rPr>
          <w:lang w:eastAsia="zh-CN"/>
        </w:rPr>
        <w:t>Informacje o przebiegu szkolenia</w:t>
      </w:r>
    </w:p>
    <w:p>
      <w:pPr>
        <w:pStyle w:val="ListParagraph"/>
        <w:numPr>
          <w:ilvl w:val="0"/>
          <w:numId w:val="5"/>
        </w:numPr>
        <w:ind w:left="993" w:hanging="426"/>
        <w:rPr>
          <w:lang w:eastAsia="zh-CN"/>
        </w:rPr>
      </w:pPr>
      <w:r>
        <w:rPr>
          <w:lang w:eastAsia="zh-CN"/>
        </w:rPr>
        <w:t>Informacje o przebiegu egzaminów</w:t>
      </w:r>
    </w:p>
    <w:p>
      <w:pPr>
        <w:pStyle w:val="ListParagraph"/>
        <w:numPr>
          <w:ilvl w:val="0"/>
          <w:numId w:val="5"/>
        </w:numPr>
        <w:ind w:left="993" w:hanging="426"/>
        <w:rPr>
          <w:lang w:eastAsia="zh-CN"/>
        </w:rPr>
      </w:pPr>
      <w:r>
        <w:rPr>
          <w:lang w:eastAsia="zh-CN"/>
        </w:rPr>
        <w:t>Kategoria prawa jazdy, której dotyczy PKK</w:t>
      </w:r>
    </w:p>
    <w:p>
      <w:pPr>
        <w:pStyle w:val="ListParagraph"/>
        <w:numPr>
          <w:ilvl w:val="0"/>
          <w:numId w:val="5"/>
        </w:numPr>
        <w:ind w:left="993" w:hanging="426"/>
        <w:rPr>
          <w:lang w:eastAsia="zh-CN"/>
        </w:rPr>
      </w:pPr>
      <w:r>
        <w:rPr>
          <w:lang w:eastAsia="zh-CN"/>
        </w:rPr>
        <w:t>Powód generowania PKK (np. skierowanie na kontrolne sprawdzenie kwalifikacji)</w:t>
      </w:r>
    </w:p>
    <w:p>
      <w:pPr>
        <w:pStyle w:val="ListParagraph"/>
        <w:numPr>
          <w:ilvl w:val="0"/>
          <w:numId w:val="5"/>
        </w:numPr>
        <w:ind w:left="993" w:hanging="426"/>
        <w:rPr>
          <w:lang w:eastAsia="zh-CN"/>
        </w:rPr>
      </w:pPr>
      <w:r>
        <w:rPr>
          <w:lang w:eastAsia="zh-CN"/>
        </w:rPr>
        <w:t>Informacje o pozwoleniach opiekunów, zaświadczeniach ze szkół itp.</w:t>
      </w:r>
    </w:p>
    <w:p>
      <w:pPr>
        <w:pStyle w:val="ListParagraph"/>
        <w:numPr>
          <w:ilvl w:val="0"/>
          <w:numId w:val="5"/>
        </w:numPr>
        <w:ind w:left="993" w:hanging="426"/>
        <w:rPr>
          <w:lang w:eastAsia="zh-CN"/>
        </w:rPr>
      </w:pPr>
      <w:r>
        <w:rPr>
          <w:lang w:eastAsia="zh-CN"/>
        </w:rPr>
        <w:t>Informacja o rezerwacji PKK</w:t>
      </w:r>
    </w:p>
    <w:p>
      <w:pPr>
        <w:pStyle w:val="ListParagraph"/>
        <w:numPr>
          <w:ilvl w:val="0"/>
          <w:numId w:val="5"/>
        </w:numPr>
        <w:ind w:left="993" w:hanging="426"/>
        <w:rPr>
          <w:lang w:eastAsia="zh-CN"/>
        </w:rPr>
      </w:pPr>
      <w:r>
        <w:rPr>
          <w:lang w:eastAsia="zh-CN"/>
        </w:rPr>
        <w:t>Token aktualności danych PKK.</w:t>
      </w:r>
    </w:p>
    <w:p>
      <w:pPr>
        <w:pStyle w:val="Nagwek2"/>
        <w:numPr>
          <w:ilvl w:val="1"/>
          <w:numId w:val="2"/>
        </w:numPr>
        <w:rPr/>
      </w:pPr>
      <w:bookmarkStart w:id="99" w:name="_Toc426106427"/>
      <w:bookmarkStart w:id="100" w:name="_Toc419469119"/>
      <w:bookmarkStart w:id="101" w:name="_Toc419465950"/>
      <w:bookmarkStart w:id="102" w:name="_Toc419465871"/>
      <w:bookmarkStart w:id="103" w:name="_Toc419465799"/>
      <w:bookmarkEnd w:id="101"/>
      <w:bookmarkEnd w:id="102"/>
      <w:bookmarkEnd w:id="103"/>
      <w:r>
        <w:rPr/>
        <w:t xml:space="preserve">Metoda </w:t>
      </w:r>
      <w:bookmarkEnd w:id="100"/>
      <w:bookmarkEnd w:id="99"/>
      <w:r>
        <w:rPr/>
        <w:t>zapisRezerwacjaPkk</w:t>
      </w:r>
    </w:p>
    <w:p>
      <w:pPr>
        <w:pStyle w:val="Normal"/>
        <w:ind w:left="567" w:hanging="0"/>
        <w:rPr>
          <w:lang w:eastAsia="zh-CN"/>
        </w:rPr>
      </w:pPr>
      <w:r>
        <w:rPr>
          <w:lang w:eastAsia="zh-CN"/>
        </w:rPr>
        <w:t xml:space="preserve">Metodę stosuje się zmiany statusu PKK z „Wolny” na „Zarezerwowany do szkolenia” lub „Zarezerwowany do egzaminu”. Dany podmiot może zarezerwować PKK tylko we własnym imieniu. </w:t>
      </w:r>
    </w:p>
    <w:p>
      <w:pPr>
        <w:pStyle w:val="Normal"/>
        <w:ind w:left="221" w:firstLine="346"/>
        <w:rPr>
          <w:lang w:eastAsia="zh-CN"/>
        </w:rPr>
      </w:pPr>
      <w:r>
        <w:rPr>
          <w:lang w:eastAsia="zh-CN"/>
        </w:rPr>
        <w:t>Minimalny zakres danych wejściowych:</w:t>
      </w:r>
    </w:p>
    <w:p>
      <w:pPr>
        <w:pStyle w:val="ListParagraph"/>
        <w:numPr>
          <w:ilvl w:val="0"/>
          <w:numId w:val="7"/>
        </w:numPr>
        <w:rPr>
          <w:lang w:eastAsia="zh-CN"/>
        </w:rPr>
      </w:pPr>
      <w:r>
        <w:rPr>
          <w:lang w:eastAsia="zh-CN"/>
        </w:rPr>
        <w:t>Rodzaj czynności biznesowej (PKK.Z.PKK.REZ), numer PKK i token aktualności danych PKK</w:t>
      </w:r>
    </w:p>
    <w:p>
      <w:pPr>
        <w:pStyle w:val="Normal"/>
        <w:ind w:left="567" w:hanging="0"/>
        <w:rPr>
          <w:lang w:eastAsia="zh-CN"/>
        </w:rPr>
      </w:pPr>
      <w:r>
        <w:rPr>
          <w:lang w:eastAsia="zh-CN"/>
        </w:rPr>
        <w:t>Metoda zwraca:</w:t>
      </w:r>
    </w:p>
    <w:p>
      <w:pPr>
        <w:pStyle w:val="ListParagraph"/>
        <w:numPr>
          <w:ilvl w:val="0"/>
          <w:numId w:val="6"/>
        </w:numPr>
        <w:rPr>
          <w:lang w:eastAsia="zh-CN"/>
        </w:rPr>
      </w:pPr>
      <w:r>
        <w:rPr>
          <w:lang w:eastAsia="zh-CN"/>
        </w:rPr>
        <w:t>Numer PKK</w:t>
      </w:r>
    </w:p>
    <w:p>
      <w:pPr>
        <w:pStyle w:val="ListParagraph"/>
        <w:numPr>
          <w:ilvl w:val="0"/>
          <w:numId w:val="6"/>
        </w:numPr>
        <w:rPr>
          <w:lang w:eastAsia="zh-CN"/>
        </w:rPr>
      </w:pPr>
      <w:r>
        <w:rPr>
          <w:lang w:eastAsia="zh-CN"/>
        </w:rPr>
        <w:t>Nowy token aktualności danych PKK.</w:t>
      </w:r>
    </w:p>
    <w:p>
      <w:pPr>
        <w:pStyle w:val="Nagwek2"/>
        <w:numPr>
          <w:ilvl w:val="1"/>
          <w:numId w:val="2"/>
        </w:numPr>
        <w:rPr>
          <w:lang w:val="pl-PL"/>
        </w:rPr>
      </w:pPr>
      <w:bookmarkStart w:id="104" w:name="_Toc426106428"/>
      <w:bookmarkStart w:id="105" w:name="_Toc419469120"/>
      <w:r>
        <w:rPr/>
        <w:t xml:space="preserve">Metoda </w:t>
      </w:r>
      <w:bookmarkEnd w:id="105"/>
      <w:bookmarkEnd w:id="104"/>
      <w:r>
        <w:rPr>
          <w:lang w:val="pl-PL"/>
        </w:rPr>
        <w:t>zapisUwolnieniePkk</w:t>
      </w:r>
    </w:p>
    <w:p>
      <w:pPr>
        <w:pStyle w:val="Normal"/>
        <w:ind w:left="567" w:hanging="0"/>
        <w:rPr>
          <w:lang w:eastAsia="zh-CN"/>
        </w:rPr>
      </w:pPr>
      <w:r>
        <w:rPr>
          <w:lang w:eastAsia="zh-CN"/>
        </w:rPr>
        <w:t xml:space="preserve">Metodę stosuje się zmiany statusu PKK z „Zarezerwowany do szkolenia” lub „Zarezerwowany do egzaminu” na „Wolny”. PKK uwalnia ten podmiot, który go zarezerwował. W szczególnych przypadkach może tego dokonać również starostwo. </w:t>
      </w:r>
    </w:p>
    <w:p>
      <w:pPr>
        <w:pStyle w:val="Normal"/>
        <w:ind w:left="221" w:firstLine="346"/>
        <w:rPr>
          <w:lang w:eastAsia="zh-CN"/>
        </w:rPr>
      </w:pPr>
      <w:r>
        <w:rPr>
          <w:lang w:eastAsia="zh-CN"/>
        </w:rPr>
        <w:t>Minimalny zakres danych wejściowych:</w:t>
      </w:r>
    </w:p>
    <w:p>
      <w:pPr>
        <w:pStyle w:val="ListParagraph"/>
        <w:numPr>
          <w:ilvl w:val="0"/>
          <w:numId w:val="6"/>
        </w:numPr>
        <w:rPr>
          <w:lang w:eastAsia="zh-CN"/>
        </w:rPr>
      </w:pPr>
      <w:r>
        <w:rPr>
          <w:lang w:eastAsia="zh-CN"/>
        </w:rPr>
        <w:t>Rodzaj czynności biznesowej (PKK.Z.PKK.UWO), numer PKK i token aktualności danych PKK</w:t>
      </w:r>
    </w:p>
    <w:p>
      <w:pPr>
        <w:pStyle w:val="Normal"/>
        <w:spacing w:lineRule="auto" w:line="240"/>
        <w:rPr>
          <w:lang w:eastAsia="zh-CN"/>
        </w:rPr>
      </w:pPr>
      <w:r>
        <w:rPr>
          <w:lang w:eastAsia="zh-CN"/>
        </w:rPr>
      </w:r>
      <w:r>
        <w:br w:type="page"/>
      </w:r>
    </w:p>
    <w:p>
      <w:pPr>
        <w:pStyle w:val="Normal"/>
        <w:ind w:left="567" w:hanging="0"/>
        <w:rPr>
          <w:lang w:eastAsia="zh-CN"/>
        </w:rPr>
      </w:pPr>
      <w:r>
        <w:rPr>
          <w:lang w:eastAsia="zh-CN"/>
        </w:rPr>
        <w:t>Metoda zwraca:</w:t>
      </w:r>
    </w:p>
    <w:p>
      <w:pPr>
        <w:pStyle w:val="ListParagraph"/>
        <w:numPr>
          <w:ilvl w:val="0"/>
          <w:numId w:val="6"/>
        </w:numPr>
        <w:rPr>
          <w:lang w:eastAsia="zh-CN"/>
        </w:rPr>
      </w:pPr>
      <w:r>
        <w:rPr>
          <w:lang w:eastAsia="zh-CN"/>
        </w:rPr>
        <w:t>Numer PKK</w:t>
      </w:r>
    </w:p>
    <w:p>
      <w:pPr>
        <w:pStyle w:val="ListParagraph"/>
        <w:numPr>
          <w:ilvl w:val="0"/>
          <w:numId w:val="6"/>
        </w:numPr>
        <w:rPr>
          <w:lang w:eastAsia="zh-CN"/>
        </w:rPr>
      </w:pPr>
      <w:r>
        <w:rPr>
          <w:lang w:eastAsia="zh-CN"/>
        </w:rPr>
        <w:t>Nowy token aktualności danych PKK.</w:t>
      </w:r>
    </w:p>
    <w:p>
      <w:pPr>
        <w:pStyle w:val="Nagwek2"/>
        <w:numPr>
          <w:ilvl w:val="1"/>
          <w:numId w:val="2"/>
        </w:numPr>
        <w:rPr/>
      </w:pPr>
      <w:bookmarkStart w:id="106" w:name="_Toc426106429"/>
      <w:bookmarkStart w:id="107" w:name="_Toc419469121"/>
      <w:bookmarkStart w:id="108" w:name="_Toc419465953"/>
      <w:bookmarkStart w:id="109" w:name="_Toc419465874"/>
      <w:bookmarkStart w:id="110" w:name="_Toc419465802"/>
      <w:bookmarkEnd w:id="108"/>
      <w:bookmarkEnd w:id="109"/>
      <w:bookmarkEnd w:id="110"/>
      <w:r>
        <w:rPr/>
        <w:t xml:space="preserve">Metoda </w:t>
      </w:r>
      <w:bookmarkEnd w:id="107"/>
      <w:bookmarkEnd w:id="106"/>
      <w:r>
        <w:rPr/>
        <w:t>zapisPrzekazanieDanychKursuKnk</w:t>
      </w:r>
    </w:p>
    <w:p>
      <w:pPr>
        <w:pStyle w:val="Normal"/>
        <w:ind w:left="567" w:hanging="0"/>
        <w:rPr>
          <w:lang w:eastAsia="zh-CN"/>
        </w:rPr>
      </w:pPr>
      <w:r>
        <w:rPr>
          <w:lang w:eastAsia="zh-CN"/>
        </w:rPr>
        <w:t>Metodę stosuje się wprowadzenia danych egzaminu na PKK, w przypadku gdy nie może tego zrobić podmiot egzaminujący.</w:t>
      </w:r>
    </w:p>
    <w:p>
      <w:pPr>
        <w:pStyle w:val="Normal"/>
        <w:ind w:left="567" w:hanging="0"/>
        <w:rPr>
          <w:lang w:eastAsia="zh-CN"/>
        </w:rPr>
      </w:pPr>
      <w:r>
        <w:rPr>
          <w:lang w:eastAsia="zh-CN"/>
        </w:rPr>
        <w:t>Minimalny zakres danych wejściowych:</w:t>
      </w:r>
    </w:p>
    <w:p>
      <w:pPr>
        <w:pStyle w:val="ListParagraph"/>
        <w:numPr>
          <w:ilvl w:val="0"/>
          <w:numId w:val="8"/>
        </w:numPr>
        <w:rPr>
          <w:lang w:eastAsia="zh-CN"/>
        </w:rPr>
      </w:pPr>
      <w:r>
        <w:rPr>
          <w:lang w:eastAsia="zh-CN"/>
        </w:rPr>
        <w:t>Rodzaj czynności biznesowej (PKK.Z.KUR.PRZ), dane szkolenia, numer i token aktualności danych PKK.</w:t>
      </w:r>
    </w:p>
    <w:p>
      <w:pPr>
        <w:pStyle w:val="Normal"/>
        <w:ind w:left="567" w:hanging="0"/>
        <w:rPr>
          <w:lang w:eastAsia="zh-CN"/>
        </w:rPr>
      </w:pPr>
      <w:r>
        <w:rPr>
          <w:lang w:eastAsia="zh-CN"/>
        </w:rPr>
        <w:t>Dane szkolenia obejmują:</w:t>
      </w:r>
    </w:p>
    <w:p>
      <w:pPr>
        <w:pStyle w:val="ListParagraph"/>
        <w:numPr>
          <w:ilvl w:val="0"/>
          <w:numId w:val="8"/>
        </w:numPr>
        <w:rPr>
          <w:lang w:eastAsia="zh-CN"/>
        </w:rPr>
      </w:pPr>
      <w:r>
        <w:rPr>
          <w:lang w:eastAsia="zh-CN"/>
        </w:rPr>
        <w:t>Numer ewidencyjny instruktora</w:t>
      </w:r>
    </w:p>
    <w:p>
      <w:pPr>
        <w:pStyle w:val="ListParagraph"/>
        <w:numPr>
          <w:ilvl w:val="0"/>
          <w:numId w:val="8"/>
        </w:numPr>
        <w:rPr>
          <w:lang w:eastAsia="zh-CN"/>
        </w:rPr>
      </w:pPr>
      <w:r>
        <w:rPr>
          <w:lang w:eastAsia="zh-CN"/>
        </w:rPr>
        <w:t>Numer ewidencyjny wykładowcy (o ile ma zastosowanie)</w:t>
      </w:r>
    </w:p>
    <w:p>
      <w:pPr>
        <w:pStyle w:val="ListParagraph"/>
        <w:numPr>
          <w:ilvl w:val="0"/>
          <w:numId w:val="8"/>
        </w:numPr>
        <w:rPr>
          <w:lang w:eastAsia="zh-CN"/>
        </w:rPr>
      </w:pPr>
      <w:r>
        <w:rPr>
          <w:lang w:eastAsia="zh-CN"/>
        </w:rPr>
        <w:t>Data rozpoczęcia i zakończenia szkolenia</w:t>
      </w:r>
    </w:p>
    <w:p>
      <w:pPr>
        <w:pStyle w:val="Normal"/>
        <w:ind w:left="567" w:hanging="0"/>
        <w:rPr>
          <w:lang w:eastAsia="zh-CN"/>
        </w:rPr>
      </w:pPr>
      <w:r>
        <w:rPr>
          <w:lang w:eastAsia="zh-CN"/>
        </w:rPr>
        <w:t>Metoda zwraca:</w:t>
      </w:r>
    </w:p>
    <w:p>
      <w:pPr>
        <w:pStyle w:val="ListParagraph"/>
        <w:numPr>
          <w:ilvl w:val="0"/>
          <w:numId w:val="6"/>
        </w:numPr>
        <w:rPr>
          <w:lang w:eastAsia="zh-CN"/>
        </w:rPr>
      </w:pPr>
      <w:r>
        <w:rPr>
          <w:lang w:eastAsia="zh-CN"/>
        </w:rPr>
        <w:t>Numer PKK</w:t>
      </w:r>
    </w:p>
    <w:p>
      <w:pPr>
        <w:pStyle w:val="ListParagraph"/>
        <w:numPr>
          <w:ilvl w:val="0"/>
          <w:numId w:val="6"/>
        </w:numPr>
        <w:rPr>
          <w:lang w:val="x-none" w:eastAsia="zh-CN"/>
        </w:rPr>
      </w:pPr>
      <w:r>
        <w:rPr>
          <w:lang w:eastAsia="zh-CN"/>
        </w:rPr>
        <w:t>Nowy token aktualności danych PKK.</w:t>
      </w:r>
    </w:p>
    <w:p>
      <w:pPr>
        <w:pStyle w:val="Nagwek2"/>
        <w:numPr>
          <w:ilvl w:val="1"/>
          <w:numId w:val="2"/>
        </w:numPr>
        <w:rPr>
          <w:lang w:val="pl-PL"/>
        </w:rPr>
      </w:pPr>
      <w:bookmarkStart w:id="111" w:name="_Toc426106430"/>
      <w:bookmarkEnd w:id="111"/>
      <w:r>
        <w:rPr>
          <w:lang w:val="pl-PL"/>
        </w:rPr>
        <w:t>Metoda zapisPrzekazanieDanychEgzaminuKnk</w:t>
      </w:r>
    </w:p>
    <w:p>
      <w:pPr>
        <w:pStyle w:val="Normal"/>
        <w:ind w:left="567" w:hanging="0"/>
        <w:rPr>
          <w:lang w:eastAsia="zh-CN"/>
        </w:rPr>
      </w:pPr>
      <w:r>
        <w:rPr>
          <w:lang w:eastAsia="zh-CN"/>
        </w:rPr>
        <w:t>Metodę stosuje się wprowadzenia danych egzaminu na PKK przez Ośrodek Egzaminacyjny.</w:t>
      </w:r>
    </w:p>
    <w:p>
      <w:pPr>
        <w:pStyle w:val="Normal"/>
        <w:ind w:left="567" w:hanging="0"/>
        <w:rPr>
          <w:lang w:eastAsia="zh-CN"/>
        </w:rPr>
      </w:pPr>
      <w:r>
        <w:rPr>
          <w:lang w:eastAsia="zh-CN"/>
        </w:rPr>
        <w:t>Minimalny zakres danych wejściowych:</w:t>
      </w:r>
    </w:p>
    <w:p>
      <w:pPr>
        <w:pStyle w:val="ListParagraph"/>
        <w:numPr>
          <w:ilvl w:val="0"/>
          <w:numId w:val="8"/>
        </w:numPr>
        <w:rPr>
          <w:lang w:eastAsia="zh-CN"/>
        </w:rPr>
      </w:pPr>
      <w:r>
        <w:rPr>
          <w:lang w:eastAsia="zh-CN"/>
        </w:rPr>
        <w:t>Rodzaj czynności biznesowej: PKK.Z.EGZ.PRZ-PRAK(Przekazanie danych egzaminu części praktycznej KnK) lub PKK.Z.EGZ.PRZ-TEOR(Przekazanie danych egzaminu części teoretycznej KnK), dane egzaminu, numer i token aktualności danych PKK.</w:t>
      </w:r>
    </w:p>
    <w:p>
      <w:pPr>
        <w:pStyle w:val="Normal"/>
        <w:ind w:left="567" w:hanging="0"/>
        <w:rPr>
          <w:lang w:eastAsia="zh-CN"/>
        </w:rPr>
      </w:pPr>
      <w:r>
        <w:rPr>
          <w:lang w:eastAsia="zh-CN"/>
        </w:rPr>
        <w:t>Dane egzaminu obejmują:</w:t>
      </w:r>
    </w:p>
    <w:p>
      <w:pPr>
        <w:pStyle w:val="ListParagraph"/>
        <w:numPr>
          <w:ilvl w:val="0"/>
          <w:numId w:val="8"/>
        </w:numPr>
        <w:rPr>
          <w:lang w:eastAsia="zh-CN"/>
        </w:rPr>
      </w:pPr>
      <w:r>
        <w:rPr>
          <w:lang w:eastAsia="zh-CN"/>
        </w:rPr>
        <w:t>Numer ewidencyjny egzaminatora</w:t>
      </w:r>
    </w:p>
    <w:p>
      <w:pPr>
        <w:pStyle w:val="ListParagraph"/>
        <w:numPr>
          <w:ilvl w:val="0"/>
          <w:numId w:val="8"/>
        </w:numPr>
        <w:rPr>
          <w:lang w:eastAsia="zh-CN"/>
        </w:rPr>
      </w:pPr>
      <w:r>
        <w:rPr>
          <w:lang w:eastAsia="zh-CN"/>
        </w:rPr>
        <w:t>Rodzaj egzaminu</w:t>
      </w:r>
    </w:p>
    <w:p>
      <w:pPr>
        <w:pStyle w:val="ListParagraph"/>
        <w:numPr>
          <w:ilvl w:val="0"/>
          <w:numId w:val="8"/>
        </w:numPr>
        <w:rPr>
          <w:lang w:eastAsia="zh-CN"/>
        </w:rPr>
      </w:pPr>
      <w:r>
        <w:rPr>
          <w:lang w:eastAsia="zh-CN"/>
        </w:rPr>
        <w:t>Data przeprowadzenia egzaminu</w:t>
      </w:r>
    </w:p>
    <w:p>
      <w:pPr>
        <w:pStyle w:val="ListParagraph"/>
        <w:numPr>
          <w:ilvl w:val="0"/>
          <w:numId w:val="8"/>
        </w:numPr>
        <w:rPr>
          <w:lang w:eastAsia="zh-CN"/>
        </w:rPr>
      </w:pPr>
      <w:r>
        <w:rPr>
          <w:lang w:eastAsia="zh-CN"/>
        </w:rPr>
        <w:t>Wynik egzaminu</w:t>
      </w:r>
    </w:p>
    <w:p>
      <w:pPr>
        <w:pStyle w:val="Normal"/>
        <w:ind w:left="567" w:hanging="0"/>
        <w:rPr>
          <w:lang w:eastAsia="zh-CN"/>
        </w:rPr>
      </w:pPr>
      <w:r>
        <w:rPr>
          <w:lang w:eastAsia="zh-CN"/>
        </w:rPr>
        <w:t>Metoda zwraca:</w:t>
      </w:r>
    </w:p>
    <w:p>
      <w:pPr>
        <w:pStyle w:val="ListParagraph"/>
        <w:numPr>
          <w:ilvl w:val="0"/>
          <w:numId w:val="6"/>
        </w:numPr>
        <w:rPr>
          <w:lang w:eastAsia="zh-CN"/>
        </w:rPr>
      </w:pPr>
      <w:r>
        <w:rPr>
          <w:lang w:eastAsia="zh-CN"/>
        </w:rPr>
        <w:t>Numer PKK</w:t>
      </w:r>
    </w:p>
    <w:p>
      <w:pPr>
        <w:pStyle w:val="ListParagraph"/>
        <w:numPr>
          <w:ilvl w:val="0"/>
          <w:numId w:val="6"/>
        </w:numPr>
        <w:rPr>
          <w:lang w:val="x-none" w:eastAsia="zh-CN"/>
        </w:rPr>
      </w:pPr>
      <w:r>
        <w:rPr>
          <w:lang w:eastAsia="zh-CN"/>
        </w:rPr>
        <w:t>Nowy token aktualności danych PKK.</w:t>
      </w:r>
    </w:p>
    <w:p>
      <w:pPr>
        <w:pStyle w:val="Nagwek1"/>
        <w:numPr>
          <w:ilvl w:val="0"/>
          <w:numId w:val="2"/>
        </w:numPr>
        <w:rPr>
          <w:b w:val="false"/>
          <w:b w:val="false"/>
          <w:szCs w:val="36"/>
          <w:lang w:val="pl-PL"/>
        </w:rPr>
      </w:pPr>
      <w:bookmarkStart w:id="112" w:name="_Toc426106431"/>
      <w:bookmarkStart w:id="113" w:name="_Toc419469127"/>
      <w:bookmarkStart w:id="114" w:name="_Toc419465966"/>
      <w:bookmarkStart w:id="115" w:name="_Toc419465887"/>
      <w:bookmarkStart w:id="116" w:name="_Toc419465815"/>
      <w:bookmarkStart w:id="117" w:name="_Toc419465963"/>
      <w:bookmarkStart w:id="118" w:name="_Toc419465884"/>
      <w:bookmarkStart w:id="119" w:name="_Toc419465812"/>
      <w:bookmarkStart w:id="120" w:name="_Toc419465962"/>
      <w:bookmarkStart w:id="121" w:name="_Toc419465883"/>
      <w:bookmarkStart w:id="122" w:name="_Toc419465811"/>
      <w:bookmarkEnd w:id="114"/>
      <w:bookmarkEnd w:id="115"/>
      <w:bookmarkEnd w:id="116"/>
      <w:bookmarkEnd w:id="117"/>
      <w:bookmarkEnd w:id="118"/>
      <w:bookmarkEnd w:id="119"/>
      <w:bookmarkEnd w:id="120"/>
      <w:bookmarkEnd w:id="121"/>
      <w:bookmarkEnd w:id="122"/>
      <w:r>
        <w:rPr>
          <w:b w:val="false"/>
          <w:szCs w:val="36"/>
        </w:rPr>
        <w:t>S</w:t>
      </w:r>
      <w:r>
        <w:rPr>
          <w:b w:val="false"/>
          <w:szCs w:val="36"/>
          <w:lang w:val="pl-PL"/>
        </w:rPr>
        <w:t>łowniki</w:t>
      </w:r>
      <w:bookmarkEnd w:id="112"/>
      <w:bookmarkEnd w:id="113"/>
      <w:r>
        <w:rPr>
          <w:b w:val="false"/>
          <w:szCs w:val="36"/>
          <w:lang w:val="pl-PL"/>
        </w:rPr>
        <w:t xml:space="preserve"> </w:t>
      </w:r>
    </w:p>
    <w:p>
      <w:pPr>
        <w:pStyle w:val="Normal"/>
        <w:ind w:left="567" w:hanging="0"/>
        <w:rPr>
          <w:lang w:eastAsia="zh-CN"/>
        </w:rPr>
      </w:pPr>
      <w:r>
        <w:rPr>
          <w:lang w:eastAsia="zh-CN"/>
        </w:rPr>
        <w:t>Specyfikacja słowników i interfejsu odczytu słowników, używanych w API PKK będzie określona w oddzielnym dokumencie.</w:t>
      </w:r>
    </w:p>
    <w:p>
      <w:pPr>
        <w:pStyle w:val="Nagwek1"/>
        <w:numPr>
          <w:ilvl w:val="0"/>
          <w:numId w:val="2"/>
        </w:numPr>
        <w:rPr>
          <w:b w:val="false"/>
          <w:b w:val="false"/>
          <w:szCs w:val="36"/>
          <w:lang w:val="pl-PL"/>
        </w:rPr>
      </w:pPr>
      <w:bookmarkStart w:id="123" w:name="_Toc426106432"/>
      <w:bookmarkStart w:id="124" w:name="_Toc419469128"/>
      <w:bookmarkStart w:id="125" w:name="_Toc419465971"/>
      <w:bookmarkStart w:id="126" w:name="_Toc419465892"/>
      <w:bookmarkStart w:id="127" w:name="_Toc419465820"/>
      <w:bookmarkEnd w:id="125"/>
      <w:bookmarkEnd w:id="126"/>
      <w:bookmarkEnd w:id="127"/>
      <w:bookmarkEnd w:id="123"/>
      <w:bookmarkEnd w:id="124"/>
      <w:r>
        <w:rPr>
          <w:b w:val="false"/>
          <w:szCs w:val="36"/>
          <w:lang w:val="pl-PL"/>
        </w:rPr>
        <w:t>Załączniki</w:t>
      </w:r>
    </w:p>
    <w:p>
      <w:pPr>
        <w:pStyle w:val="Normal"/>
        <w:rPr>
          <w:lang w:eastAsia="zh-CN"/>
        </w:rPr>
      </w:pPr>
      <w:r>
        <w:rPr>
          <w:lang w:eastAsia="zh-CN"/>
        </w:rPr>
        <w:t>Wszystkie załączniki znajdują się w oddzielnym pliku „pkk-oeosk.zip”, który zawiera następujące składniki:</w:t>
      </w:r>
    </w:p>
    <w:p>
      <w:pPr>
        <w:pStyle w:val="ListParagraph"/>
        <w:numPr>
          <w:ilvl w:val="0"/>
          <w:numId w:val="9"/>
        </w:numPr>
        <w:rPr>
          <w:lang w:eastAsia="zh-CN"/>
        </w:rPr>
      </w:pPr>
      <w:r>
        <w:rPr>
          <w:lang w:eastAsia="zh-CN"/>
        </w:rPr>
        <w:t>PKK-OE-OSK-API.wsdl – specyfikacja usług sieciowych</w:t>
      </w:r>
    </w:p>
    <w:p>
      <w:pPr>
        <w:pStyle w:val="ListParagraph"/>
        <w:numPr>
          <w:ilvl w:val="0"/>
          <w:numId w:val="9"/>
        </w:numPr>
        <w:rPr>
          <w:lang w:eastAsia="zh-CN"/>
        </w:rPr>
      </w:pPr>
      <w:r>
        <w:rPr>
          <w:lang w:eastAsia="zh-CN"/>
        </w:rPr>
        <w:t>pkk-oeosk.xsd i pkk-common.xsd – specyfikacja typów danych użytych w komunikatach</w:t>
      </w:r>
    </w:p>
    <w:p>
      <w:pPr>
        <w:pStyle w:val="ListParagraph"/>
        <w:numPr>
          <w:ilvl w:val="0"/>
          <w:numId w:val="9"/>
        </w:numPr>
        <w:rPr>
          <w:lang w:eastAsia="zh-CN"/>
        </w:rPr>
      </w:pPr>
      <w:r>
        <w:rPr>
          <w:lang w:eastAsia="zh-CN"/>
        </w:rPr>
        <w:t>pkk-oeosk.html – dokumentacja xsd w postaci html</w:t>
      </w:r>
    </w:p>
    <w:p>
      <w:pPr>
        <w:pStyle w:val="ListParagraph"/>
        <w:numPr>
          <w:ilvl w:val="0"/>
          <w:numId w:val="9"/>
        </w:numPr>
        <w:rPr>
          <w:lang w:eastAsia="zh-CN"/>
        </w:rPr>
      </w:pPr>
      <w:r>
        <w:rPr>
          <w:lang w:eastAsia="zh-CN"/>
        </w:rPr>
        <w:t>pliki z przykładowymi komunikatami wejściowymi i wyjściowymi</w:t>
      </w:r>
    </w:p>
    <w:p>
      <w:pPr>
        <w:pStyle w:val="ListParagraph"/>
        <w:numPr>
          <w:ilvl w:val="0"/>
          <w:numId w:val="9"/>
        </w:numPr>
        <w:rPr/>
      </w:pPr>
      <w:r>
        <w:rPr>
          <w:lang w:eastAsia="zh-CN"/>
        </w:rPr>
        <w:t>pkk-oeosk-kody-bledow.xlsx – lista możliwych kodów i komunikatów błędów, w tabeli zaznaczono usługi, w których dany błąd może wystąpić</w:t>
      </w:r>
    </w:p>
    <w:sectPr>
      <w:headerReference w:type="default" r:id="rId5"/>
      <w:headerReference w:type="first" r:id="rId6"/>
      <w:footerReference w:type="default" r:id="rId7"/>
      <w:footerReference w:type="first" r:id="rId8"/>
      <w:type w:val="nextPage"/>
      <w:pgSz w:w="11906" w:h="16838"/>
      <w:pgMar w:left="1140" w:right="862" w:header="709" w:top="766" w:footer="283" w:bottom="340" w:gutter="0"/>
      <w:pgNumType w:fmt="decimal"/>
      <w:formProt w:val="false"/>
      <w:titlePg/>
      <w:textDirection w:val="lrTb"/>
      <w:docGrid w:type="default" w:linePitch="299"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Tahoma">
    <w:charset w:val="ee"/>
    <w:family w:val="roman"/>
    <w:pitch w:val="variable"/>
  </w:font>
  <w:font w:name="Consolas">
    <w:charset w:val="ee"/>
    <w:family w:val="roman"/>
    <w:pitch w:val="variable"/>
  </w:font>
  <w:font w:name="Lucida Grande">
    <w:charset w:val="ee"/>
    <w:family w:val="roman"/>
    <w:pitch w:val="variable"/>
  </w:font>
  <w:font w:name="Arial">
    <w:charset w:val="ee"/>
    <w:family w:val="roman"/>
    <w:pitch w:val="variable"/>
  </w:font>
  <w:font w:name="Liberation Sans">
    <w:altName w:val="Arial"/>
    <w:charset w:val="ee"/>
    <w:family w:val="swiss"/>
    <w:pitch w:val="variable"/>
  </w:font>
  <w:font w:name="Book Antiqua">
    <w:charset w:val="ee"/>
    <w:family w:val="roman"/>
    <w:pitch w:val="variable"/>
  </w:font>
  <w:font w:name="Times">
    <w:altName w:val="Times New Roman"/>
    <w:charset w:val="ee"/>
    <w:family w:val="roman"/>
    <w:pitch w:val="variable"/>
  </w:font>
  <w:font w:name="Verdana">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Obj>
      <w:id w:val="558623151"/>
    </w:sdtPr>
    <w:sdtContent>
      <w:p>
        <w:pPr>
          <w:pStyle w:val="Stopka"/>
          <w:jc w:val="right"/>
          <w:rPr>
            <w:rFonts w:ascii="Cambria" w:hAnsi="Cambria" w:eastAsia="ＭＳ ゴシック" w:cs="" w:asciiTheme="majorHAnsi" w:cstheme="majorBidi" w:eastAsiaTheme="majorEastAsia" w:hAnsiTheme="majorHAnsi"/>
            <w:sz w:val="20"/>
            <w:lang w:val="pl-PL"/>
          </w:rPr>
        </w:pPr>
        <w:r>
          <w:rPr>
            <w:rFonts w:eastAsia="ＭＳ ゴシック" w:cs="" w:cstheme="majorBidi" w:eastAsiaTheme="majorEastAsia" w:ascii="Cambria" w:hAnsi="Cambria"/>
            <w:sz w:val="20"/>
            <w:lang w:val="pl-PL"/>
          </w:rPr>
          <w:drawing>
            <wp:anchor behindDoc="1" distT="0" distB="0" distL="114300" distR="114300" simplePos="0" locked="0" layoutInCell="1" allowOverlap="1" relativeHeight="27">
              <wp:simplePos x="0" y="0"/>
              <wp:positionH relativeFrom="column">
                <wp:posOffset>-722630</wp:posOffset>
              </wp:positionH>
              <wp:positionV relativeFrom="paragraph">
                <wp:posOffset>17780</wp:posOffset>
              </wp:positionV>
              <wp:extent cx="7559675" cy="683895"/>
              <wp:effectExtent l="0" t="0" r="0" b="0"/>
              <wp:wrapTopAndBottom/>
              <wp:docPr id="3"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
                      <pic:cNvPicPr>
                        <a:picLocks noChangeAspect="1" noChangeArrowheads="1"/>
                      </pic:cNvPicPr>
                    </pic:nvPicPr>
                    <pic:blipFill>
                      <a:blip r:embed="rId1"/>
                      <a:stretch>
                        <a:fillRect/>
                      </a:stretch>
                    </pic:blipFill>
                    <pic:spPr bwMode="auto">
                      <a:xfrm>
                        <a:off x="0" y="0"/>
                        <a:ext cx="7559675" cy="683895"/>
                      </a:xfrm>
                      <a:prstGeom prst="rect">
                        <a:avLst/>
                      </a:prstGeom>
                      <a:noFill/>
                      <a:ln w="9525">
                        <a:noFill/>
                        <a:miter lim="800000"/>
                        <a:headEnd/>
                        <a:tailEnd/>
                      </a:ln>
                    </pic:spPr>
                  </pic:pic>
                </a:graphicData>
              </a:graphic>
            </wp:anchor>
          </w:drawing>
        </w:r>
      </w:p>
      <w:p>
        <w:pPr>
          <w:pStyle w:val="Stopka"/>
          <w:jc w:val="right"/>
          <w:rPr>
            <w:rFonts w:ascii="Cambria" w:hAnsi="Cambria" w:eastAsia="ＭＳ ゴシック" w:cs="" w:asciiTheme="majorHAnsi" w:cstheme="majorBidi" w:eastAsiaTheme="majorEastAsia" w:hAnsiTheme="majorHAnsi"/>
            <w:sz w:val="20"/>
            <w:lang w:val="pl-PL"/>
          </w:rPr>
        </w:pPr>
        <w:r>
          <w:rPr>
            <w:rFonts w:eastAsia="ＭＳ ゴシック" w:cs="" w:cstheme="majorBidi" w:eastAsiaTheme="majorEastAsia" w:ascii="Cambria" w:hAnsi="Cambria"/>
            <w:sz w:val="20"/>
            <w:lang w:val="pl-PL"/>
          </w:rPr>
        </w:r>
      </w:p>
      <w:p>
        <w:pPr>
          <w:pStyle w:val="Stopka"/>
          <w:jc w:val="right"/>
          <w:rPr/>
        </w:pPr>
        <w:r>
          <w:rPr>
            <w:rFonts w:eastAsia="ＭＳ ゴシック" w:cs="" w:ascii="Cambria" w:hAnsi="Cambria" w:asciiTheme="majorHAnsi" w:cstheme="majorBidi" w:eastAsiaTheme="majorEastAsia" w:hAnsiTheme="majorHAnsi"/>
            <w:b/>
            <w:color w:val="63849B"/>
            <w:sz w:val="20"/>
            <w:lang w:val="pl-PL"/>
          </w:rPr>
          <w:t xml:space="preserve">str. </w:t>
        </w:r>
        <w:r>
          <w:rPr>
            <w:rFonts w:eastAsia="ＭＳ ゴシック" w:cs="" w:ascii="Cambria" w:hAnsi="Cambria" w:asciiTheme="majorHAnsi" w:cstheme="majorBidi" w:eastAsiaTheme="majorEastAsia" w:hAnsiTheme="majorHAnsi"/>
            <w:b/>
            <w:color w:val="63849B"/>
            <w:sz w:val="20"/>
            <w:lang w:val="pl-PL"/>
          </w:rPr>
          <w:fldChar w:fldCharType="begin"/>
        </w:r>
        <w:r>
          <w:instrText> PAGE </w:instrText>
        </w:r>
        <w:r>
          <w:fldChar w:fldCharType="separate"/>
        </w:r>
        <w:r>
          <w:t>14</w:t>
        </w:r>
        <w: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drawing>
        <wp:anchor behindDoc="1" distT="0" distB="0" distL="114300" distR="114300" simplePos="0" locked="0" layoutInCell="1" allowOverlap="1" relativeHeight="28">
          <wp:simplePos x="0" y="0"/>
          <wp:positionH relativeFrom="column">
            <wp:posOffset>-570230</wp:posOffset>
          </wp:positionH>
          <wp:positionV relativeFrom="paragraph">
            <wp:posOffset>-243840</wp:posOffset>
          </wp:positionV>
          <wp:extent cx="7559675" cy="683895"/>
          <wp:effectExtent l="0" t="0" r="0" b="0"/>
          <wp:wrapTopAndBottom/>
          <wp:docPr id="4"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5" descr=""/>
                  <pic:cNvPicPr>
                    <a:picLocks noChangeAspect="1" noChangeArrowheads="1"/>
                  </pic:cNvPicPr>
                </pic:nvPicPr>
                <pic:blipFill>
                  <a:blip r:embed="rId1"/>
                  <a:stretch>
                    <a:fillRect/>
                  </a:stretch>
                </pic:blipFill>
                <pic:spPr bwMode="auto">
                  <a:xfrm>
                    <a:off x="0" y="0"/>
                    <a:ext cx="7559675" cy="683895"/>
                  </a:xfrm>
                  <a:prstGeom prst="rect">
                    <a:avLst/>
                  </a:prstGeom>
                  <a:noFill/>
                  <a:ln w="9525">
                    <a:noFill/>
                    <a:miter lim="800000"/>
                    <a:headEnd/>
                    <a:tailEnd/>
                  </a:ln>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anchor behindDoc="1" distT="0" distB="0" distL="114300" distR="114300" simplePos="0" locked="0" layoutInCell="1" allowOverlap="1" relativeHeight="14">
          <wp:simplePos x="0" y="0"/>
          <wp:positionH relativeFrom="column">
            <wp:posOffset>-723900</wp:posOffset>
          </wp:positionH>
          <wp:positionV relativeFrom="paragraph">
            <wp:posOffset>-469900</wp:posOffset>
          </wp:positionV>
          <wp:extent cx="7560310" cy="1177290"/>
          <wp:effectExtent l="0" t="0" r="0" b="0"/>
          <wp:wrapSquare wrapText="bothSides"/>
          <wp:docPr id="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1"/>
                  <a:stretch>
                    <a:fillRect/>
                  </a:stretch>
                </pic:blipFill>
                <pic:spPr bwMode="auto">
                  <a:xfrm>
                    <a:off x="0" y="0"/>
                    <a:ext cx="7560310" cy="1177290"/>
                  </a:xfrm>
                  <a:prstGeom prst="rect">
                    <a:avLst/>
                  </a:prstGeom>
                  <a:noFill/>
                  <a:ln w="9525">
                    <a:noFill/>
                    <a:miter lim="800000"/>
                    <a:headEnd/>
                    <a:tailEnd/>
                  </a:ln>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left" w:pos="7387" w:leader="none"/>
      </w:tabs>
      <w:rPr/>
    </w:pPr>
    <w:r>
      <w:drawing>
        <wp:anchor behindDoc="1" distT="0" distB="0" distL="114300" distR="114300" simplePos="0" locked="0" layoutInCell="1" allowOverlap="1" relativeHeight="29">
          <wp:simplePos x="0" y="0"/>
          <wp:positionH relativeFrom="column">
            <wp:posOffset>-723900</wp:posOffset>
          </wp:positionH>
          <wp:positionV relativeFrom="paragraph">
            <wp:posOffset>-448945</wp:posOffset>
          </wp:positionV>
          <wp:extent cx="7560310" cy="1177290"/>
          <wp:effectExtent l="0" t="0" r="0" b="0"/>
          <wp:wrapSquare wrapText="bothSides"/>
          <wp:docPr id="2" name="Obraz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
                  <pic:cNvPicPr>
                    <a:picLocks noChangeAspect="1" noChangeArrowheads="1"/>
                  </pic:cNvPicPr>
                </pic:nvPicPr>
                <pic:blipFill>
                  <a:blip r:embed="rId1"/>
                  <a:stretch>
                    <a:fillRect/>
                  </a:stretch>
                </pic:blipFill>
                <pic:spPr bwMode="auto">
                  <a:xfrm>
                    <a:off x="0" y="0"/>
                    <a:ext cx="7560310" cy="1177290"/>
                  </a:xfrm>
                  <a:prstGeom prst="rect">
                    <a:avLst/>
                  </a:prstGeom>
                  <a:noFill/>
                  <a:ln w="9525">
                    <a:noFill/>
                    <a:miter lim="800000"/>
                    <a:headEnd/>
                    <a:tailEnd/>
                  </a:ln>
                </pic:spPr>
              </pic:pic>
            </a:graphicData>
          </a:graphic>
        </wp:anchor>
      </w:drawing>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567" w:hanging="567"/>
      </w:pPr>
      <w:rPr>
        <w:sz w:val="36"/>
        <w:i w:val="false"/>
        <w:b w:val="false"/>
      </w:rPr>
    </w:lvl>
    <w:lvl w:ilvl="1">
      <w:start w:val="1"/>
      <w:numFmt w:val="decimal"/>
      <w:lvlText w:val="%1.%2."/>
      <w:lvlJc w:val="left"/>
      <w:pPr>
        <w:ind w:left="1134" w:hanging="567"/>
      </w:pPr>
      <w:rPr>
        <w:sz w:val="28"/>
        <w:i w:val="false"/>
        <w:b/>
      </w:rPr>
    </w:lvl>
    <w:lvl w:ilvl="2">
      <w:start w:val="1"/>
      <w:numFmt w:val="decimal"/>
      <w:lvlText w:val="%1.%2.%3."/>
      <w:lvlJc w:val="left"/>
      <w:pPr>
        <w:ind w:left="1277" w:hanging="709"/>
      </w:pPr>
      <w:rPr>
        <w:sz w:val="24"/>
        <w:i w:val="false"/>
        <w:b w:val="false"/>
      </w:rPr>
    </w:lvl>
    <w:lvl w:ilvl="3">
      <w:start w:val="1"/>
      <w:numFmt w:val="decimal"/>
      <w:lvlText w:val="%1.%2.%3.%4."/>
      <w:lvlJc w:val="left"/>
      <w:pPr>
        <w:ind w:left="1418" w:hanging="851"/>
      </w:pPr>
      <w:rPr>
        <w:sz w:val="22"/>
        <w:i w:val="false"/>
        <w:b/>
      </w:rPr>
    </w:lvl>
    <w:lvl w:ilvl="4">
      <w:start w:val="1"/>
      <w:numFmt w:val="decimal"/>
      <w:lvlText w:val="%1.%2.%3.%4.%5."/>
      <w:lvlJc w:val="left"/>
      <w:pPr>
        <w:ind w:left="1702" w:hanging="992"/>
      </w:pPr>
      <w:rPr>
        <w:sz w:val="22"/>
        <w:i w:val="false"/>
        <w:b/>
      </w:rPr>
    </w:lvl>
    <w:lvl w:ilvl="5">
      <w:start w:val="1"/>
      <w:numFmt w:val="decimal"/>
      <w:lvlText w:val="%1.%2.%3.%4.%5.%6."/>
      <w:lvlJc w:val="left"/>
      <w:pPr>
        <w:ind w:left="1701" w:hanging="1134"/>
      </w:pPr>
      <w:rPr>
        <w:sz w:val="22"/>
        <w:i w:val="false"/>
        <w:b/>
      </w:rPr>
    </w:lvl>
    <w:lvl w:ilvl="6">
      <w:start w:val="1"/>
      <w:numFmt w:val="decimal"/>
      <w:lvlText w:val="%1.%2.%3.%4.%5.%6.%7."/>
      <w:lvlJc w:val="left"/>
      <w:pPr>
        <w:ind w:left="1843" w:hanging="1276"/>
      </w:pPr>
      <w:rPr>
        <w:sz w:val="22"/>
        <w:i w:val="false"/>
        <w:b/>
      </w:rPr>
    </w:lvl>
    <w:lvl w:ilvl="7">
      <w:start w:val="1"/>
      <w:numFmt w:val="decimal"/>
      <w:lvlText w:val="%1.%2.%3.%4.%5.%6.%7.%8."/>
      <w:lvlJc w:val="left"/>
      <w:pPr>
        <w:ind w:left="1985" w:hanging="1418"/>
      </w:pPr>
      <w:rPr>
        <w:sz w:val="22"/>
        <w:i w:val="false"/>
        <w:b/>
      </w:rPr>
    </w:lvl>
    <w:lvl w:ilvl="8">
      <w:start w:val="1"/>
      <w:numFmt w:val="decimal"/>
      <w:lvlText w:val="%1.%2.%3.%4.%5.%6.%7.%8.%9."/>
      <w:lvlJc w:val="left"/>
      <w:pPr>
        <w:ind w:left="2126" w:hanging="1559"/>
      </w:pPr>
      <w:rPr>
        <w:sz w:val="22"/>
        <w:i w:val="false"/>
        <w:b/>
      </w:rPr>
    </w:lvl>
  </w:abstractNum>
  <w:abstractNum w:abstractNumId="2">
    <w:lvl w:ilvl="0">
      <w:start w:val="1"/>
      <w:numFmt w:val="decimal"/>
      <w:lvlText w:val="%1."/>
      <w:lvlJc w:val="left"/>
      <w:pPr>
        <w:tabs>
          <w:tab w:val="num" w:pos="567"/>
        </w:tabs>
        <w:ind w:left="567" w:hanging="567"/>
      </w:pPr>
      <w:rPr>
        <w:sz w:val="36"/>
        <w:i w:val="false"/>
        <w:b w:val="false"/>
      </w:rPr>
    </w:lvl>
    <w:lvl w:ilvl="1">
      <w:start w:val="1"/>
      <w:numFmt w:val="decimal"/>
      <w:lvlText w:val="%1.%2."/>
      <w:lvlJc w:val="left"/>
      <w:pPr>
        <w:tabs>
          <w:tab w:val="num" w:pos="1134"/>
        </w:tabs>
        <w:ind w:left="1134" w:hanging="567"/>
      </w:pPr>
      <w:rPr>
        <w:sz w:val="28"/>
        <w:i w:val="false"/>
        <w:b/>
      </w:rPr>
    </w:lvl>
    <w:lvl w:ilvl="2">
      <w:start w:val="1"/>
      <w:numFmt w:val="decimal"/>
      <w:lvlText w:val="%1.%2.%3."/>
      <w:lvlJc w:val="left"/>
      <w:pPr>
        <w:tabs>
          <w:tab w:val="num" w:pos="1277"/>
        </w:tabs>
        <w:ind w:left="1277" w:hanging="709"/>
      </w:pPr>
      <w:rPr>
        <w:sz w:val="24"/>
        <w:i w:val="false"/>
        <w:b w:val="false"/>
      </w:rPr>
    </w:lvl>
    <w:lvl w:ilvl="3">
      <w:start w:val="1"/>
      <w:numFmt w:val="decimal"/>
      <w:lvlText w:val="%1.%2.%3.%4."/>
      <w:lvlJc w:val="left"/>
      <w:pPr>
        <w:tabs>
          <w:tab w:val="num" w:pos="1418"/>
        </w:tabs>
        <w:ind w:left="1418" w:hanging="851"/>
      </w:pPr>
      <w:rPr>
        <w:sz w:val="22"/>
        <w:i w:val="false"/>
        <w:b/>
      </w:rPr>
    </w:lvl>
    <w:lvl w:ilvl="4">
      <w:start w:val="1"/>
      <w:numFmt w:val="decimal"/>
      <w:lvlText w:val="%1.%2.%3.%4.%5."/>
      <w:lvlJc w:val="left"/>
      <w:pPr>
        <w:tabs>
          <w:tab w:val="num" w:pos="1702"/>
        </w:tabs>
        <w:ind w:left="1702" w:hanging="992"/>
      </w:pPr>
      <w:rPr>
        <w:sz w:val="22"/>
        <w:i w:val="false"/>
        <w:b/>
      </w:rPr>
    </w:lvl>
    <w:lvl w:ilvl="5">
      <w:start w:val="1"/>
      <w:numFmt w:val="decimal"/>
      <w:lvlText w:val="%1.%2.%3.%4.%5.%6."/>
      <w:lvlJc w:val="left"/>
      <w:pPr>
        <w:tabs>
          <w:tab w:val="num" w:pos="1701"/>
        </w:tabs>
        <w:ind w:left="1701" w:hanging="1134"/>
      </w:pPr>
      <w:rPr>
        <w:sz w:val="22"/>
        <w:i w:val="false"/>
        <w:b/>
      </w:rPr>
    </w:lvl>
    <w:lvl w:ilvl="6">
      <w:start w:val="1"/>
      <w:numFmt w:val="decimal"/>
      <w:lvlText w:val="%1.%2.%3.%4.%5.%6.%7."/>
      <w:lvlJc w:val="left"/>
      <w:pPr>
        <w:tabs>
          <w:tab w:val="num" w:pos="1843"/>
        </w:tabs>
        <w:ind w:left="1843" w:hanging="1276"/>
      </w:pPr>
      <w:rPr>
        <w:sz w:val="22"/>
        <w:i w:val="false"/>
        <w:b/>
      </w:rPr>
    </w:lvl>
    <w:lvl w:ilvl="7">
      <w:start w:val="1"/>
      <w:numFmt w:val="decimal"/>
      <w:lvlText w:val="%1.%2.%3.%4.%5.%6.%7.%8."/>
      <w:lvlJc w:val="left"/>
      <w:pPr>
        <w:tabs>
          <w:tab w:val="num" w:pos="1985"/>
        </w:tabs>
        <w:ind w:left="1985" w:hanging="1418"/>
      </w:pPr>
      <w:rPr>
        <w:sz w:val="22"/>
        <w:i w:val="false"/>
        <w:b/>
      </w:rPr>
    </w:lvl>
    <w:lvl w:ilvl="8">
      <w:start w:val="1"/>
      <w:numFmt w:val="decimal"/>
      <w:lvlText w:val="%1.%2.%3.%4.%5.%6.%7.%8.%9."/>
      <w:lvlJc w:val="left"/>
      <w:pPr>
        <w:tabs>
          <w:tab w:val="num" w:pos="2126"/>
        </w:tabs>
        <w:ind w:left="2126" w:hanging="1559"/>
      </w:pPr>
      <w:rPr>
        <w:sz w:val="22"/>
        <w:i w:val="false"/>
        <w:b/>
      </w:r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941" w:hanging="360"/>
      </w:pPr>
      <w:rPr>
        <w:rFonts w:ascii="Symbol" w:hAnsi="Symbol" w:cs="Symbol" w:hint="default"/>
      </w:rPr>
    </w:lvl>
    <w:lvl w:ilvl="1">
      <w:start w:val="1"/>
      <w:numFmt w:val="bullet"/>
      <w:lvlText w:val="o"/>
      <w:lvlJc w:val="left"/>
      <w:pPr>
        <w:ind w:left="1661" w:hanging="360"/>
      </w:pPr>
      <w:rPr>
        <w:rFonts w:ascii="Courier New" w:hAnsi="Courier New" w:cs="Courier New" w:hint="default"/>
      </w:rPr>
    </w:lvl>
    <w:lvl w:ilvl="2">
      <w:start w:val="1"/>
      <w:numFmt w:val="bullet"/>
      <w:lvlText w:val=""/>
      <w:lvlJc w:val="left"/>
      <w:pPr>
        <w:ind w:left="2381" w:hanging="360"/>
      </w:pPr>
      <w:rPr>
        <w:rFonts w:ascii="Wingdings" w:hAnsi="Wingdings" w:cs="Wingdings" w:hint="default"/>
      </w:rPr>
    </w:lvl>
    <w:lvl w:ilvl="3">
      <w:start w:val="1"/>
      <w:numFmt w:val="bullet"/>
      <w:lvlText w:val=""/>
      <w:lvlJc w:val="left"/>
      <w:pPr>
        <w:ind w:left="3101" w:hanging="360"/>
      </w:pPr>
      <w:rPr>
        <w:rFonts w:ascii="Symbol" w:hAnsi="Symbol" w:cs="Symbol" w:hint="default"/>
      </w:rPr>
    </w:lvl>
    <w:lvl w:ilvl="4">
      <w:start w:val="1"/>
      <w:numFmt w:val="bullet"/>
      <w:lvlText w:val="o"/>
      <w:lvlJc w:val="left"/>
      <w:pPr>
        <w:ind w:left="3821" w:hanging="360"/>
      </w:pPr>
      <w:rPr>
        <w:rFonts w:ascii="Courier New" w:hAnsi="Courier New" w:cs="Courier New" w:hint="default"/>
      </w:rPr>
    </w:lvl>
    <w:lvl w:ilvl="5">
      <w:start w:val="1"/>
      <w:numFmt w:val="bullet"/>
      <w:lvlText w:val=""/>
      <w:lvlJc w:val="left"/>
      <w:pPr>
        <w:ind w:left="4541" w:hanging="360"/>
      </w:pPr>
      <w:rPr>
        <w:rFonts w:ascii="Wingdings" w:hAnsi="Wingdings" w:cs="Wingdings" w:hint="default"/>
      </w:rPr>
    </w:lvl>
    <w:lvl w:ilvl="6">
      <w:start w:val="1"/>
      <w:numFmt w:val="bullet"/>
      <w:lvlText w:val=""/>
      <w:lvlJc w:val="left"/>
      <w:pPr>
        <w:ind w:left="5261" w:hanging="360"/>
      </w:pPr>
      <w:rPr>
        <w:rFonts w:ascii="Symbol" w:hAnsi="Symbol" w:cs="Symbol" w:hint="default"/>
      </w:rPr>
    </w:lvl>
    <w:lvl w:ilvl="7">
      <w:start w:val="1"/>
      <w:numFmt w:val="bullet"/>
      <w:lvlText w:val="o"/>
      <w:lvlJc w:val="left"/>
      <w:pPr>
        <w:ind w:left="5981" w:hanging="360"/>
      </w:pPr>
      <w:rPr>
        <w:rFonts w:ascii="Courier New" w:hAnsi="Courier New" w:cs="Courier New" w:hint="default"/>
      </w:rPr>
    </w:lvl>
    <w:lvl w:ilvl="8">
      <w:start w:val="1"/>
      <w:numFmt w:val="bullet"/>
      <w:lvlText w:val=""/>
      <w:lvlJc w:val="left"/>
      <w:pPr>
        <w:ind w:left="6701" w:hanging="360"/>
      </w:pPr>
      <w:rPr>
        <w:rFonts w:ascii="Wingdings" w:hAnsi="Wingdings" w:cs="Wingdings" w:hint="default"/>
      </w:rPr>
    </w:lvl>
  </w:abstractNum>
  <w:abstractNum w:abstractNumId="5">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6">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7">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8">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9">
    <w:lvl w:ilvl="0">
      <w:start w:val="1"/>
      <w:numFmt w:val="bullet"/>
      <w:lvlText w:val=""/>
      <w:lvlJc w:val="left"/>
      <w:pPr>
        <w:ind w:left="941" w:hanging="360"/>
      </w:pPr>
      <w:rPr>
        <w:rFonts w:ascii="Symbol" w:hAnsi="Symbol" w:cs="Symbol" w:hint="default"/>
      </w:rPr>
    </w:lvl>
    <w:lvl w:ilvl="1">
      <w:start w:val="1"/>
      <w:numFmt w:val="bullet"/>
      <w:lvlText w:val="o"/>
      <w:lvlJc w:val="left"/>
      <w:pPr>
        <w:ind w:left="1661" w:hanging="360"/>
      </w:pPr>
      <w:rPr>
        <w:rFonts w:ascii="Courier New" w:hAnsi="Courier New" w:cs="Courier New" w:hint="default"/>
      </w:rPr>
    </w:lvl>
    <w:lvl w:ilvl="2">
      <w:start w:val="1"/>
      <w:numFmt w:val="bullet"/>
      <w:lvlText w:val=""/>
      <w:lvlJc w:val="left"/>
      <w:pPr>
        <w:ind w:left="2381" w:hanging="360"/>
      </w:pPr>
      <w:rPr>
        <w:rFonts w:ascii="Wingdings" w:hAnsi="Wingdings" w:cs="Wingdings" w:hint="default"/>
      </w:rPr>
    </w:lvl>
    <w:lvl w:ilvl="3">
      <w:start w:val="1"/>
      <w:numFmt w:val="bullet"/>
      <w:lvlText w:val=""/>
      <w:lvlJc w:val="left"/>
      <w:pPr>
        <w:ind w:left="3101" w:hanging="360"/>
      </w:pPr>
      <w:rPr>
        <w:rFonts w:ascii="Symbol" w:hAnsi="Symbol" w:cs="Symbol" w:hint="default"/>
      </w:rPr>
    </w:lvl>
    <w:lvl w:ilvl="4">
      <w:start w:val="1"/>
      <w:numFmt w:val="bullet"/>
      <w:lvlText w:val="o"/>
      <w:lvlJc w:val="left"/>
      <w:pPr>
        <w:ind w:left="3821" w:hanging="360"/>
      </w:pPr>
      <w:rPr>
        <w:rFonts w:ascii="Courier New" w:hAnsi="Courier New" w:cs="Courier New" w:hint="default"/>
      </w:rPr>
    </w:lvl>
    <w:lvl w:ilvl="5">
      <w:start w:val="1"/>
      <w:numFmt w:val="bullet"/>
      <w:lvlText w:val=""/>
      <w:lvlJc w:val="left"/>
      <w:pPr>
        <w:ind w:left="4541" w:hanging="360"/>
      </w:pPr>
      <w:rPr>
        <w:rFonts w:ascii="Wingdings" w:hAnsi="Wingdings" w:cs="Wingdings" w:hint="default"/>
      </w:rPr>
    </w:lvl>
    <w:lvl w:ilvl="6">
      <w:start w:val="1"/>
      <w:numFmt w:val="bullet"/>
      <w:lvlText w:val=""/>
      <w:lvlJc w:val="left"/>
      <w:pPr>
        <w:ind w:left="5261" w:hanging="360"/>
      </w:pPr>
      <w:rPr>
        <w:rFonts w:ascii="Symbol" w:hAnsi="Symbol" w:cs="Symbol" w:hint="default"/>
      </w:rPr>
    </w:lvl>
    <w:lvl w:ilvl="7">
      <w:start w:val="1"/>
      <w:numFmt w:val="bullet"/>
      <w:lvlText w:val="o"/>
      <w:lvlJc w:val="left"/>
      <w:pPr>
        <w:ind w:left="5981" w:hanging="360"/>
      </w:pPr>
      <w:rPr>
        <w:rFonts w:ascii="Courier New" w:hAnsi="Courier New" w:cs="Courier New" w:hint="default"/>
      </w:rPr>
    </w:lvl>
    <w:lvl w:ilvl="8">
      <w:start w:val="1"/>
      <w:numFmt w:val="bullet"/>
      <w:lvlText w:val=""/>
      <w:lvlJc w:val="left"/>
      <w:pPr>
        <w:ind w:left="6701" w:hanging="360"/>
      </w:pPr>
      <w:rPr>
        <w:rFonts w:ascii="Wingdings" w:hAnsi="Wingdings" w:cs="Wingdings" w:hint="default"/>
      </w:rPr>
    </w:lvl>
  </w:abstractNum>
  <w:abstractNum w:abstractNumId="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1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pl-PL" w:eastAsia="pl-PL" w:bidi="ar-SA"/>
      </w:rPr>
    </w:rPrDefault>
    <w:pPrDefault>
      <w:pPr>
        <w:jc w:val="both"/>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locked="0"/>
    <w:lsdException w:name="No Spacing" w:locked="0" w:semiHidden="0" w:unhideWhenUsed="0" w:qFormat="1"/>
    <w:lsdException w:name="Light Shading" w:locked="0" w:semiHidden="0" w:unhideWhenUsed="0"/>
    <w:lsdException w:name="Light List" w:locked="0" w:semiHidden="0" w:unhideWhenUsed="0"/>
    <w:lsdException w:name="Light Grid" w:locked="0" w:semiHidden="0" w:unhideWhenUsed="0"/>
    <w:lsdException w:name="Medium Shading 1" w:locked="0" w:semiHidden="0" w:unhideWhenUsed="0"/>
    <w:lsdException w:name="Medium Shading 2" w:locked="0" w:semiHidden="0" w:unhideWhenUsed="0"/>
    <w:lsdException w:name="Medium List 1" w:locked="0" w:semiHidden="0" w:unhideWhenUsed="0"/>
    <w:lsdException w:name="Medium List 2" w:locked="0" w:semiHidden="0" w:unhideWhenUsed="0"/>
    <w:lsdException w:name="Medium Grid 1" w:locked="0" w:semiHidden="0" w:unhideWhenUsed="0"/>
    <w:lsdException w:name="Medium Grid 2" w:locked="0" w:uiPriority="1" w:semiHidden="0" w:unhideWhenUsed="0" w:qFormat="1"/>
    <w:lsdException w:name="Medium Grid 3" w:locked="0" w:uiPriority="60" w:semiHidden="0" w:unhideWhenUsed="0"/>
    <w:lsdException w:name="Dark List" w:locked="0" w:uiPriority="61" w:semiHidden="0" w:unhideWhenUsed="0"/>
    <w:lsdException w:name="Colorful Shading" w:locked="0" w:uiPriority="62" w:semiHidden="0" w:unhideWhenUsed="0"/>
    <w:lsdException w:name="Colorful List" w:locked="0" w:uiPriority="63" w:semiHidden="0" w:unhideWhenUsed="0"/>
    <w:lsdException w:name="Colorful Grid" w:locked="0" w:uiPriority="64" w:semiHidden="0" w:unhideWhenUsed="0"/>
    <w:lsdException w:name="Light Shading Accent 1" w:locked="0" w:uiPriority="65" w:semiHidden="0" w:unhideWhenUsed="0"/>
    <w:lsdException w:name="Light List Accent 1" w:locked="0" w:uiPriority="66" w:semiHidden="0" w:unhideWhenUsed="0"/>
    <w:lsdException w:name="Light Grid Accent 1" w:locked="0" w:uiPriority="67" w:semiHidden="0" w:unhideWhenUsed="0"/>
    <w:lsdException w:name="Medium Shading 1 Accent 1" w:locked="0" w:uiPriority="68" w:semiHidden="0" w:unhideWhenUsed="0"/>
    <w:lsdException w:name="Medium Shading 2 Accent 1" w:locked="0" w:uiPriority="69" w:semiHidden="0" w:unhideWhenUsed="0"/>
    <w:lsdException w:name="Medium List 1 Accent 1" w:locked="0" w:uiPriority="70" w:semiHidden="0" w:unhideWhenUsed="0"/>
    <w:lsdException w:name="Revision" w:locked="0" w:uiPriority="71" w:semiHidden="0" w:unhideWhenUsed="0"/>
    <w:lsdException w:name="List Paragraph" w:locked="0" w:uiPriority="72" w:semiHidden="0" w:unhideWhenUsed="0" w:qFormat="1"/>
    <w:lsdException w:name="Quote" w:locked="0" w:uiPriority="73" w:semiHidden="0" w:unhideWhenUsed="0" w:qFormat="1"/>
    <w:lsdException w:name="Intense Quote" w:locked="0" w:uiPriority="60" w:semiHidden="0" w:unhideWhenUsed="0" w:qFormat="1"/>
    <w:lsdException w:name="Medium List 2 Accent 1" w:locked="0" w:uiPriority="61" w:semiHidden="0" w:unhideWhenUsed="0"/>
    <w:lsdException w:name="Medium Grid 1 Accent 1" w:locked="0" w:uiPriority="62" w:semiHidden="0" w:unhideWhenUsed="0"/>
    <w:lsdException w:name="Medium Grid 2 Accent 1" w:locked="0" w:uiPriority="63" w:semiHidden="0" w:unhideWhenUsed="0"/>
    <w:lsdException w:name="Medium Grid 3 Accent 1" w:locked="0" w:uiPriority="64" w:semiHidden="0" w:unhideWhenUsed="0"/>
    <w:lsdException w:name="Dark List Accent 1" w:locked="0" w:uiPriority="65" w:semiHidden="0" w:unhideWhenUsed="0"/>
    <w:lsdException w:name="Colorful Shading Accent 1" w:locked="0" w:semiHidden="0" w:unhideWhenUsed="0"/>
    <w:lsdException w:name="Colorful List Accent 1" w:locked="0" w:uiPriority="34" w:semiHidden="0" w:unhideWhenUsed="0" w:qFormat="1"/>
    <w:lsdException w:name="Colorful Grid Accent 1" w:locked="0" w:uiPriority="29" w:semiHidden="0" w:unhideWhenUsed="0" w:qFormat="1"/>
    <w:lsdException w:name="Light Shading Accent 2" w:locked="0" w:uiPriority="30" w:semiHidden="0" w:unhideWhenUsed="0" w:qFormat="1"/>
    <w:lsdException w:name="Light List Accent 2" w:locked="0" w:uiPriority="66" w:semiHidden="0" w:unhideWhenUsed="0"/>
    <w:lsdException w:name="Light Grid Accent 2" w:locked="0" w:uiPriority="67" w:semiHidden="0" w:unhideWhenUsed="0"/>
    <w:lsdException w:name="Medium Shading 1 Accent 2" w:locked="0" w:uiPriority="68" w:semiHidden="0" w:unhideWhenUsed="0"/>
    <w:lsdException w:name="Medium Shading 2 Accent 2" w:locked="0" w:uiPriority="69" w:semiHidden="0" w:unhideWhenUsed="0"/>
    <w:lsdException w:name="Medium List 1 Accent 2" w:locked="0" w:uiPriority="70" w:semiHidden="0" w:unhideWhenUsed="0"/>
    <w:lsdException w:name="Medium List 2 Accent 2" w:locked="0" w:uiPriority="71" w:semiHidden="0" w:unhideWhenUsed="0"/>
    <w:lsdException w:name="Medium Grid 1 Accent 2" w:locked="0" w:uiPriority="72" w:semiHidden="0" w:unhideWhenUsed="0"/>
    <w:lsdException w:name="Medium Grid 2 Accent 2" w:locked="0" w:uiPriority="73" w:semiHidden="0" w:unhideWhenUsed="0"/>
    <w:lsdException w:name="Medium Grid 3 Accent 2" w:locked="0" w:uiPriority="60" w:semiHidden="0" w:unhideWhenUsed="0"/>
    <w:lsdException w:name="Dark List Accent 2" w:locked="0" w:uiPriority="61" w:semiHidden="0" w:unhideWhenUsed="0"/>
    <w:lsdException w:name="Colorful Shading Accent 2" w:locked="0" w:uiPriority="62" w:semiHidden="0" w:unhideWhenUsed="0"/>
    <w:lsdException w:name="Colorful List Accent 2" w:locked="0" w:uiPriority="63" w:semiHidden="0" w:unhideWhenUsed="0"/>
    <w:lsdException w:name="Colorful Grid Accent 2" w:locked="0" w:uiPriority="64" w:semiHidden="0" w:unhideWhenUsed="0"/>
    <w:lsdException w:name="Light Shading Accent 3" w:locked="0" w:uiPriority="65" w:semiHidden="0" w:unhideWhenUsed="0"/>
    <w:lsdException w:name="Light List Accent 3" w:locked="0" w:uiPriority="66" w:semiHidden="0" w:unhideWhenUsed="0"/>
    <w:lsdException w:name="Light Grid Accent 3" w:locked="0" w:uiPriority="67" w:semiHidden="0" w:unhideWhenUsed="0"/>
    <w:lsdException w:name="Medium Shading 1 Accent 3" w:locked="0" w:uiPriority="68" w:semiHidden="0" w:unhideWhenUsed="0"/>
    <w:lsdException w:name="Medium Shading 2 Accent 3" w:locked="0" w:uiPriority="69" w:semiHidden="0" w:unhideWhenUsed="0"/>
    <w:lsdException w:name="Medium List 1 Accent 3" w:locked="0" w:uiPriority="70" w:semiHidden="0" w:unhideWhenUsed="0"/>
    <w:lsdException w:name="Medium List 2 Accent 3" w:locked="0" w:uiPriority="71" w:semiHidden="0" w:unhideWhenUsed="0"/>
    <w:lsdException w:name="Medium Grid 1 Accent 3" w:locked="0" w:uiPriority="72" w:semiHidden="0" w:unhideWhenUsed="0"/>
    <w:lsdException w:name="Medium Grid 2 Accent 3" w:locked="0" w:uiPriority="73" w:semiHidden="0" w:unhideWhenUsed="0"/>
    <w:lsdException w:name="Medium Grid 3 Accent 3" w:locked="0" w:uiPriority="60" w:semiHidden="0" w:unhideWhenUsed="0"/>
    <w:lsdException w:name="Dark List Accent 3" w:locked="0" w:uiPriority="61" w:semiHidden="0" w:unhideWhenUsed="0"/>
    <w:lsdException w:name="Colorful Shading Accent 3" w:locked="0" w:uiPriority="62" w:semiHidden="0" w:unhideWhenUsed="0"/>
    <w:lsdException w:name="Colorful List Accent 3" w:locked="0" w:uiPriority="63" w:semiHidden="0" w:unhideWhenUsed="0"/>
    <w:lsdException w:name="Colorful Grid Accent 3" w:locked="0" w:uiPriority="64" w:semiHidden="0" w:unhideWhenUsed="0"/>
    <w:lsdException w:name="Light Shading Accent 4" w:locked="0" w:uiPriority="65" w:semiHidden="0" w:unhideWhenUsed="0"/>
    <w:lsdException w:name="Light List Accent 4" w:locked="0" w:uiPriority="66" w:semiHidden="0" w:unhideWhenUsed="0"/>
    <w:lsdException w:name="Light Grid Accent 4" w:locked="0" w:uiPriority="67" w:semiHidden="0" w:unhideWhenUsed="0"/>
    <w:lsdException w:name="Medium Shading 1 Accent 4" w:locked="0" w:uiPriority="68" w:semiHidden="0" w:unhideWhenUsed="0"/>
    <w:lsdException w:name="Medium Shading 2 Accent 4" w:locked="0" w:uiPriority="69" w:semiHidden="0" w:unhideWhenUsed="0"/>
    <w:lsdException w:name="Medium List 1 Accent 4" w:locked="0" w:uiPriority="70" w:semiHidden="0" w:unhideWhenUsed="0"/>
    <w:lsdException w:name="Medium List 2 Accent 4" w:locked="0" w:uiPriority="71" w:semiHidden="0" w:unhideWhenUsed="0"/>
    <w:lsdException w:name="Medium Grid 1 Accent 4" w:locked="0" w:uiPriority="72" w:semiHidden="0" w:unhideWhenUsed="0"/>
    <w:lsdException w:name="Medium Grid 2 Accent 4" w:locked="0" w:uiPriority="73" w:semiHidden="0" w:unhideWhenUsed="0"/>
    <w:lsdException w:name="Medium Grid 3 Accent 4" w:locked="0" w:uiPriority="60" w:semiHidden="0" w:unhideWhenUsed="0"/>
    <w:lsdException w:name="Dark List Accent 4" w:locked="0" w:uiPriority="61" w:semiHidden="0" w:unhideWhenUsed="0"/>
    <w:lsdException w:name="Colorful Shading Accent 4" w:locked="0" w:uiPriority="62" w:semiHidden="0" w:unhideWhenUsed="0"/>
    <w:lsdException w:name="Colorful List Accent 4" w:locked="0" w:uiPriority="63" w:semiHidden="0" w:unhideWhenUsed="0"/>
    <w:lsdException w:name="Colorful Grid Accent 4" w:locked="0" w:uiPriority="64" w:semiHidden="0" w:unhideWhenUsed="0"/>
    <w:lsdException w:name="Light Shading Accent 5" w:locked="0" w:uiPriority="65" w:semiHidden="0" w:unhideWhenUsed="0"/>
    <w:lsdException w:name="Light List Accent 5" w:locked="0" w:uiPriority="66" w:semiHidden="0" w:unhideWhenUsed="0"/>
    <w:lsdException w:name="Light Grid Accent 5" w:locked="0" w:uiPriority="67" w:semiHidden="0" w:unhideWhenUsed="0"/>
    <w:lsdException w:name="Medium Shading 1 Accent 5" w:locked="0" w:uiPriority="68" w:semiHidden="0" w:unhideWhenUsed="0"/>
    <w:lsdException w:name="Medium Shading 2 Accent 5" w:locked="0" w:uiPriority="69" w:semiHidden="0" w:unhideWhenUsed="0"/>
    <w:lsdException w:name="Medium List 1 Accent 5" w:locked="0" w:uiPriority="70" w:semiHidden="0" w:unhideWhenUsed="0"/>
    <w:lsdException w:name="Medium List 2 Accent 5" w:locked="0" w:uiPriority="71" w:semiHidden="0" w:unhideWhenUsed="0"/>
    <w:lsdException w:name="Medium Grid 1 Accent 5" w:locked="0" w:uiPriority="72" w:semiHidden="0" w:unhideWhenUsed="0"/>
    <w:lsdException w:name="Medium Grid 2 Accent 5" w:locked="0" w:uiPriority="73" w:semiHidden="0" w:unhideWhenUsed="0"/>
    <w:lsdException w:name="Medium Grid 3 Accent 5" w:locked="0" w:uiPriority="60" w:semiHidden="0" w:unhideWhenUsed="0"/>
    <w:lsdException w:name="Dark List Accent 5" w:locked="0" w:uiPriority="61" w:semiHidden="0" w:unhideWhenUsed="0"/>
    <w:lsdException w:name="Colorful Shading Accent 5" w:locked="0" w:uiPriority="62" w:semiHidden="0" w:unhideWhenUsed="0"/>
    <w:lsdException w:name="Colorful List Accent 5" w:locked="0" w:uiPriority="63" w:semiHidden="0" w:unhideWhenUsed="0"/>
    <w:lsdException w:name="Colorful Grid Accent 5" w:locked="0" w:uiPriority="64" w:semiHidden="0" w:unhideWhenUsed="0"/>
    <w:lsdException w:name="Light Shading Accent 6" w:locked="0" w:uiPriority="65" w:semiHidden="0" w:unhideWhenUsed="0"/>
    <w:lsdException w:name="Light List Accent 6" w:locked="0" w:uiPriority="66" w:semiHidden="0" w:unhideWhenUsed="0"/>
    <w:lsdException w:name="Light Grid Accent 6" w:locked="0" w:uiPriority="67" w:semiHidden="0" w:unhideWhenUsed="0"/>
    <w:lsdException w:name="Medium Shading 1 Accent 6" w:locked="0" w:uiPriority="68" w:semiHidden="0" w:unhideWhenUsed="0"/>
    <w:lsdException w:name="Medium Shading 2 Accent 6" w:locked="0" w:uiPriority="69" w:semiHidden="0" w:unhideWhenUsed="0"/>
    <w:lsdException w:name="Medium List 1 Accent 6" w:locked="0" w:uiPriority="70" w:semiHidden="0" w:unhideWhenUsed="0"/>
    <w:lsdException w:name="Medium List 2 Accent 6" w:locked="0" w:uiPriority="71" w:semiHidden="0" w:unhideWhenUsed="0"/>
    <w:lsdException w:name="Medium Grid 1 Accent 6" w:locked="0" w:uiPriority="72" w:semiHidden="0" w:unhideWhenUsed="0"/>
    <w:lsdException w:name="Medium Grid 2 Accent 6" w:locked="0" w:uiPriority="73" w:semiHidden="0" w:unhideWhenUsed="0"/>
    <w:lsdException w:name="Medium Grid 3 Accent 6" w:locked="0" w:uiPriority="60" w:semiHidden="0" w:unhideWhenUsed="0"/>
    <w:lsdException w:name="Dark List Accent 6" w:locked="0" w:uiPriority="61" w:semiHidden="0" w:unhideWhenUsed="0"/>
    <w:lsdException w:name="Colorful Shading Accent 6" w:locked="0" w:uiPriority="62" w:semiHidden="0" w:unhideWhenUsed="0"/>
    <w:lsdException w:name="Colorful List Accent 6" w:locked="0" w:uiPriority="63" w:semiHidden="0" w:unhideWhenUsed="0"/>
    <w:lsdException w:name="Colorful Grid Accent 6" w:locked="0" w:uiPriority="64" w:semiHidden="0" w:unhideWhenUsed="0"/>
    <w:lsdException w:name="Subtle Emphasis" w:locked="0" w:uiPriority="65" w:semiHidden="0" w:unhideWhenUsed="0" w:qFormat="1"/>
    <w:lsdException w:name="Intense Emphasis" w:locked="0" w:uiPriority="66" w:semiHidden="0" w:unhideWhenUsed="0" w:qFormat="1"/>
    <w:lsdException w:name="Subtle Reference" w:locked="0" w:uiPriority="67" w:semiHidden="0" w:unhideWhenUsed="0" w:qFormat="1"/>
    <w:lsdException w:name="Intense Reference" w:locked="0" w:uiPriority="68" w:semiHidden="0" w:unhideWhenUsed="0" w:qFormat="1"/>
    <w:lsdException w:name="Book Title" w:locked="0" w:uiPriority="69" w:semiHidden="0" w:unhideWhenUsed="0" w:qFormat="1"/>
    <w:lsdException w:name="Bibliography" w:locked="0" w:uiPriority="70" w:semiHidden="0" w:unhideWhenUsed="0"/>
    <w:lsdException w:name="TOC Heading" w:locked="0" w:uiPriority="39" w:qFormat="1"/>
  </w:latentStyles>
  <w:style w:type="paragraph" w:styleId="Normal" w:default="1">
    <w:name w:val="Normal"/>
    <w:qFormat/>
    <w:rsid w:val="007810a8"/>
    <w:pPr>
      <w:widowControl/>
      <w:suppressAutoHyphens w:val="true"/>
      <w:bidi w:val="0"/>
      <w:spacing w:lineRule="auto" w:line="360"/>
      <w:ind w:left="221" w:hanging="0"/>
      <w:jc w:val="left"/>
    </w:pPr>
    <w:rPr>
      <w:rFonts w:ascii="Calibri" w:hAnsi="Calibri" w:eastAsia="Times New Roman" w:cs="Times New Roman"/>
      <w:color w:val="auto"/>
      <w:sz w:val="22"/>
      <w:szCs w:val="22"/>
      <w:lang w:val="pl-PL" w:eastAsia="pl-PL" w:bidi="ar-SA"/>
    </w:rPr>
  </w:style>
  <w:style w:type="paragraph" w:styleId="Nagwek1">
    <w:name w:val="Nagłówek 1"/>
    <w:basedOn w:val="Normal"/>
    <w:link w:val="Nagwek1Znak"/>
    <w:uiPriority w:val="9"/>
    <w:qFormat/>
    <w:rsid w:val="00cd6145"/>
    <w:pPr>
      <w:keepNext/>
      <w:keepLines/>
      <w:numPr>
        <w:ilvl w:val="0"/>
        <w:numId w:val="1"/>
      </w:numPr>
      <w:spacing w:before="120" w:after="240"/>
      <w:outlineLvl w:val="0"/>
      <w:outlineLvl w:val="0"/>
    </w:pPr>
    <w:rPr>
      <w:b/>
      <w:bCs/>
      <w:color w:val="63849B"/>
      <w:sz w:val="36"/>
      <w:szCs w:val="28"/>
      <w:lang w:val="x-none" w:eastAsia="zh-CN"/>
    </w:rPr>
  </w:style>
  <w:style w:type="paragraph" w:styleId="Nagwek2">
    <w:name w:val="Nagłówek 2"/>
    <w:basedOn w:val="Normal"/>
    <w:link w:val="Nagwek2Znak"/>
    <w:uiPriority w:val="9"/>
    <w:qFormat/>
    <w:rsid w:val="00cd6145"/>
    <w:pPr>
      <w:keepNext/>
      <w:keepLines/>
      <w:numPr>
        <w:ilvl w:val="1"/>
        <w:numId w:val="1"/>
      </w:numPr>
      <w:spacing w:before="120" w:after="120"/>
      <w:outlineLvl w:val="1"/>
      <w:outlineLvl w:val="1"/>
    </w:pPr>
    <w:rPr>
      <w:b/>
      <w:bCs/>
      <w:color w:val="63849B"/>
      <w:sz w:val="28"/>
      <w:szCs w:val="26"/>
      <w:lang w:val="x-none" w:eastAsia="zh-CN"/>
    </w:rPr>
  </w:style>
  <w:style w:type="paragraph" w:styleId="Nagwek3">
    <w:name w:val="Nagłówek 3"/>
    <w:basedOn w:val="Normal"/>
    <w:link w:val="Nagwek3Znak"/>
    <w:uiPriority w:val="9"/>
    <w:qFormat/>
    <w:rsid w:val="00cd6145"/>
    <w:pPr>
      <w:keepNext/>
      <w:keepLines/>
      <w:numPr>
        <w:ilvl w:val="2"/>
        <w:numId w:val="1"/>
      </w:numPr>
      <w:spacing w:before="120" w:after="0"/>
      <w:outlineLvl w:val="2"/>
      <w:outlineLvl w:val="2"/>
    </w:pPr>
    <w:rPr>
      <w:b/>
      <w:bCs/>
      <w:color w:val="4F81BD"/>
      <w:sz w:val="24"/>
      <w:szCs w:val="20"/>
      <w:lang w:val="x-none" w:eastAsia="x-none"/>
    </w:rPr>
  </w:style>
  <w:style w:type="paragraph" w:styleId="Nagwek4">
    <w:name w:val="Nagłówek 4"/>
    <w:basedOn w:val="Normal"/>
    <w:link w:val="Nagwek4Znak"/>
    <w:uiPriority w:val="9"/>
    <w:qFormat/>
    <w:rsid w:val="00e029fa"/>
    <w:pPr>
      <w:keepNext/>
      <w:keepLines/>
      <w:numPr>
        <w:ilvl w:val="3"/>
        <w:numId w:val="1"/>
      </w:numPr>
      <w:spacing w:before="200" w:after="0"/>
      <w:outlineLvl w:val="3"/>
      <w:outlineLvl w:val="3"/>
    </w:pPr>
    <w:rPr>
      <w:b/>
      <w:bCs/>
      <w:i/>
      <w:iCs/>
      <w:color w:val="4F81BD"/>
      <w:lang w:val="x-none" w:eastAsia="x-none"/>
    </w:rPr>
  </w:style>
  <w:style w:type="paragraph" w:styleId="Nagwek5">
    <w:name w:val="Nagłówek 5"/>
    <w:basedOn w:val="Normal"/>
    <w:link w:val="Nagwek5Znak"/>
    <w:uiPriority w:val="9"/>
    <w:qFormat/>
    <w:rsid w:val="00f37ff7"/>
    <w:pPr>
      <w:keepNext/>
      <w:keepLines/>
      <w:numPr>
        <w:ilvl w:val="4"/>
        <w:numId w:val="1"/>
      </w:numPr>
      <w:spacing w:before="200" w:after="0"/>
      <w:outlineLvl w:val="4"/>
      <w:outlineLvl w:val="4"/>
    </w:pPr>
    <w:rPr>
      <w:b/>
      <w:color w:val="243F60"/>
      <w:lang w:val="x-none" w:eastAsia="x-none"/>
    </w:rPr>
  </w:style>
  <w:style w:type="paragraph" w:styleId="Nagwek6">
    <w:name w:val="Nagłówek 6"/>
    <w:basedOn w:val="Normal"/>
    <w:link w:val="Nagwek6Znak"/>
    <w:uiPriority w:val="9"/>
    <w:qFormat/>
    <w:rsid w:val="004a03b9"/>
    <w:pPr>
      <w:keepNext/>
      <w:keepLines/>
      <w:numPr>
        <w:ilvl w:val="5"/>
        <w:numId w:val="1"/>
      </w:numPr>
      <w:spacing w:before="200" w:after="0"/>
      <w:outlineLvl w:val="5"/>
      <w:outlineLvl w:val="5"/>
    </w:pPr>
    <w:rPr>
      <w:rFonts w:ascii="Cambria" w:hAnsi="Cambria"/>
      <w:i/>
      <w:iCs/>
      <w:color w:val="243F60"/>
      <w:lang w:val="x-none" w:eastAsia="x-none"/>
    </w:rPr>
  </w:style>
  <w:style w:type="paragraph" w:styleId="Nagwek7">
    <w:name w:val="Nagłówek 7"/>
    <w:basedOn w:val="Normal"/>
    <w:link w:val="Nagwek7Znak"/>
    <w:uiPriority w:val="9"/>
    <w:qFormat/>
    <w:rsid w:val="004a03b9"/>
    <w:pPr>
      <w:keepNext/>
      <w:keepLines/>
      <w:numPr>
        <w:ilvl w:val="6"/>
        <w:numId w:val="1"/>
      </w:numPr>
      <w:spacing w:before="200" w:after="0"/>
      <w:outlineLvl w:val="6"/>
      <w:outlineLvl w:val="6"/>
    </w:pPr>
    <w:rPr>
      <w:rFonts w:ascii="Cambria" w:hAnsi="Cambria"/>
      <w:i/>
      <w:iCs/>
      <w:color w:val="404040"/>
      <w:lang w:val="x-none" w:eastAsia="x-none"/>
    </w:rPr>
  </w:style>
  <w:style w:type="paragraph" w:styleId="Nagwek8">
    <w:name w:val="Nagłówek 8"/>
    <w:basedOn w:val="Normal"/>
    <w:link w:val="Nagwek8Znak"/>
    <w:uiPriority w:val="9"/>
    <w:qFormat/>
    <w:rsid w:val="004a03b9"/>
    <w:pPr>
      <w:keepNext/>
      <w:keepLines/>
      <w:numPr>
        <w:ilvl w:val="7"/>
        <w:numId w:val="1"/>
      </w:numPr>
      <w:spacing w:before="200" w:after="0"/>
      <w:outlineLvl w:val="7"/>
      <w:outlineLvl w:val="7"/>
    </w:pPr>
    <w:rPr>
      <w:rFonts w:ascii="Cambria" w:hAnsi="Cambria"/>
      <w:color w:val="404040"/>
      <w:sz w:val="20"/>
      <w:szCs w:val="20"/>
      <w:lang w:val="x-none" w:eastAsia="x-none"/>
    </w:rPr>
  </w:style>
  <w:style w:type="paragraph" w:styleId="Nagwek9">
    <w:name w:val="Nagłówek 9"/>
    <w:basedOn w:val="Normal"/>
    <w:link w:val="Nagwek9Znak"/>
    <w:uiPriority w:val="9"/>
    <w:qFormat/>
    <w:rsid w:val="007801ce"/>
    <w:pPr>
      <w:numPr>
        <w:ilvl w:val="8"/>
        <w:numId w:val="1"/>
      </w:numPr>
      <w:spacing w:before="240" w:after="60"/>
      <w:outlineLvl w:val="8"/>
      <w:outlineLvl w:val="8"/>
    </w:pPr>
    <w:rPr>
      <w:rFonts w:ascii="Cambria" w:hAnsi="Cambria"/>
      <w:lang w:val="x-none" w:eastAsia="x-none"/>
    </w:rPr>
  </w:style>
  <w:style w:type="character" w:styleId="DefaultParagraphFont" w:default="1">
    <w:name w:val="Default Paragraph Font"/>
    <w:uiPriority w:val="1"/>
    <w:semiHidden/>
    <w:unhideWhenUsed/>
    <w:qFormat/>
    <w:rPr/>
  </w:style>
  <w:style w:type="character" w:styleId="Nagwek1Znak" w:customStyle="1">
    <w:name w:val="Nagłówek 1 Znak"/>
    <w:link w:val="Nagwek1"/>
    <w:uiPriority w:val="9"/>
    <w:qFormat/>
    <w:locked/>
    <w:rsid w:val="00cd6145"/>
    <w:rPr>
      <w:b/>
      <w:bCs/>
      <w:color w:val="63849B"/>
      <w:sz w:val="36"/>
      <w:szCs w:val="28"/>
      <w:lang w:val="x-none" w:eastAsia="zh-CN"/>
    </w:rPr>
  </w:style>
  <w:style w:type="character" w:styleId="Nagwek2Znak" w:customStyle="1">
    <w:name w:val="Nagłówek 2 Znak"/>
    <w:link w:val="Nagwek2"/>
    <w:uiPriority w:val="9"/>
    <w:qFormat/>
    <w:locked/>
    <w:rsid w:val="00cd6145"/>
    <w:rPr>
      <w:b/>
      <w:bCs/>
      <w:color w:val="63849B"/>
      <w:sz w:val="28"/>
      <w:szCs w:val="26"/>
      <w:lang w:val="x-none" w:eastAsia="zh-CN"/>
    </w:rPr>
  </w:style>
  <w:style w:type="character" w:styleId="Nagwek3Znak" w:customStyle="1">
    <w:name w:val="Nagłówek 3 Znak"/>
    <w:link w:val="Nagwek3"/>
    <w:uiPriority w:val="9"/>
    <w:qFormat/>
    <w:locked/>
    <w:rsid w:val="00cd6145"/>
    <w:rPr>
      <w:b/>
      <w:bCs/>
      <w:color w:val="4F81BD"/>
      <w:sz w:val="24"/>
      <w:lang w:val="x-none" w:eastAsia="x-none"/>
    </w:rPr>
  </w:style>
  <w:style w:type="character" w:styleId="Nagwek4Znak" w:customStyle="1">
    <w:name w:val="Nagłówek 4 Znak"/>
    <w:link w:val="Nagwek4"/>
    <w:uiPriority w:val="9"/>
    <w:qFormat/>
    <w:locked/>
    <w:rsid w:val="00e029fa"/>
    <w:rPr>
      <w:b/>
      <w:bCs/>
      <w:i/>
      <w:iCs/>
      <w:color w:val="4F81BD"/>
      <w:sz w:val="22"/>
      <w:szCs w:val="22"/>
      <w:lang w:val="x-none" w:eastAsia="x-none"/>
    </w:rPr>
  </w:style>
  <w:style w:type="character" w:styleId="Nagwek5Znak" w:customStyle="1">
    <w:name w:val="Nagłówek 5 Znak"/>
    <w:link w:val="Nagwek5"/>
    <w:uiPriority w:val="9"/>
    <w:qFormat/>
    <w:locked/>
    <w:rsid w:val="00f37ff7"/>
    <w:rPr>
      <w:b/>
      <w:color w:val="243F60"/>
      <w:sz w:val="22"/>
      <w:szCs w:val="22"/>
      <w:lang w:val="x-none" w:eastAsia="x-none"/>
    </w:rPr>
  </w:style>
  <w:style w:type="character" w:styleId="Nagwek6Znak" w:customStyle="1">
    <w:name w:val="Nagłówek 6 Znak"/>
    <w:link w:val="Nagwek6"/>
    <w:uiPriority w:val="9"/>
    <w:qFormat/>
    <w:locked/>
    <w:rsid w:val="004a03b9"/>
    <w:rPr>
      <w:rFonts w:ascii="Cambria" w:hAnsi="Cambria"/>
      <w:i/>
      <w:iCs/>
      <w:color w:val="243F60"/>
      <w:sz w:val="22"/>
      <w:szCs w:val="22"/>
      <w:lang w:val="x-none" w:eastAsia="x-none"/>
    </w:rPr>
  </w:style>
  <w:style w:type="character" w:styleId="Nagwek7Znak" w:customStyle="1">
    <w:name w:val="Nagłówek 7 Znak"/>
    <w:link w:val="Nagwek7"/>
    <w:uiPriority w:val="9"/>
    <w:qFormat/>
    <w:locked/>
    <w:rsid w:val="004a03b9"/>
    <w:rPr>
      <w:rFonts w:ascii="Cambria" w:hAnsi="Cambria"/>
      <w:i/>
      <w:iCs/>
      <w:color w:val="404040"/>
      <w:sz w:val="22"/>
      <w:szCs w:val="22"/>
      <w:lang w:val="x-none" w:eastAsia="x-none"/>
    </w:rPr>
  </w:style>
  <w:style w:type="character" w:styleId="Nagwek8Znak" w:customStyle="1">
    <w:name w:val="Nagłówek 8 Znak"/>
    <w:link w:val="Nagwek8"/>
    <w:uiPriority w:val="9"/>
    <w:qFormat/>
    <w:locked/>
    <w:rsid w:val="004a03b9"/>
    <w:rPr>
      <w:rFonts w:ascii="Cambria" w:hAnsi="Cambria"/>
      <w:color w:val="404040"/>
      <w:lang w:val="x-none" w:eastAsia="x-none"/>
    </w:rPr>
  </w:style>
  <w:style w:type="character" w:styleId="Nagwek9Znak" w:customStyle="1">
    <w:name w:val="Nagłówek 9 Znak"/>
    <w:link w:val="Nagwek9"/>
    <w:uiPriority w:val="9"/>
    <w:qFormat/>
    <w:locked/>
    <w:rsid w:val="007801ce"/>
    <w:rPr>
      <w:rFonts w:ascii="Cambria" w:hAnsi="Cambria"/>
      <w:sz w:val="22"/>
      <w:szCs w:val="22"/>
      <w:lang w:val="x-none" w:eastAsia="x-none"/>
    </w:rPr>
  </w:style>
  <w:style w:type="character" w:styleId="NagwekZnak" w:customStyle="1">
    <w:name w:val="Nagłówek Znak"/>
    <w:link w:val="Nagwek"/>
    <w:uiPriority w:val="99"/>
    <w:qFormat/>
    <w:locked/>
    <w:rsid w:val="00b209a9"/>
    <w:rPr>
      <w:rFonts w:cs="Times New Roman"/>
      <w:sz w:val="22"/>
    </w:rPr>
  </w:style>
  <w:style w:type="character" w:styleId="StopkaZnak" w:customStyle="1">
    <w:name w:val="Stopka Znak"/>
    <w:link w:val="Stopka"/>
    <w:uiPriority w:val="99"/>
    <w:qFormat/>
    <w:locked/>
    <w:rsid w:val="00b209a9"/>
    <w:rPr>
      <w:rFonts w:cs="Times New Roman"/>
      <w:sz w:val="22"/>
    </w:rPr>
  </w:style>
  <w:style w:type="character" w:styleId="Czeinternetowe">
    <w:name w:val="Łącze internetowe"/>
    <w:uiPriority w:val="99"/>
    <w:rsid w:val="00ad1021"/>
    <w:rPr>
      <w:rFonts w:cs="Times New Roman"/>
      <w:color w:val="0000FF"/>
      <w:u w:val="single"/>
    </w:rPr>
  </w:style>
  <w:style w:type="character" w:styleId="TekstpodstawowyZnak" w:customStyle="1">
    <w:name w:val="Tekst podstawowy Znak"/>
    <w:link w:val="Tekstpodstawowy"/>
    <w:uiPriority w:val="99"/>
    <w:qFormat/>
    <w:locked/>
    <w:rsid w:val="001d12e8"/>
    <w:rPr>
      <w:rFonts w:ascii="Times New Roman" w:hAnsi="Times New Roman"/>
      <w:lang w:val="x-none" w:eastAsia="x-none"/>
    </w:rPr>
  </w:style>
  <w:style w:type="character" w:styleId="Redniasiatka2Znak" w:customStyle="1">
    <w:name w:val="Średnia siatka 2 Znak"/>
    <w:link w:val="redniasiatka21"/>
    <w:uiPriority w:val="99"/>
    <w:qFormat/>
    <w:locked/>
    <w:rsid w:val="002837fc"/>
    <w:rPr>
      <w:sz w:val="22"/>
      <w:szCs w:val="22"/>
      <w:lang w:val="pl-PL" w:eastAsia="pl-PL" w:bidi="ar-SA"/>
    </w:rPr>
  </w:style>
  <w:style w:type="character" w:styleId="TekstdymkaZnak" w:customStyle="1">
    <w:name w:val="Tekst dymka Znak"/>
    <w:link w:val="Tekstdymka"/>
    <w:uiPriority w:val="99"/>
    <w:qFormat/>
    <w:locked/>
    <w:rsid w:val="002837fc"/>
    <w:rPr>
      <w:rFonts w:ascii="Tahoma" w:hAnsi="Tahoma" w:cs="Tahoma"/>
      <w:sz w:val="16"/>
      <w:szCs w:val="16"/>
    </w:rPr>
  </w:style>
  <w:style w:type="character" w:styleId="Annotationreference">
    <w:name w:val="annotation reference"/>
    <w:uiPriority w:val="99"/>
    <w:qFormat/>
    <w:rsid w:val="005739f6"/>
    <w:rPr>
      <w:rFonts w:cs="Times New Roman"/>
      <w:sz w:val="16"/>
      <w:szCs w:val="16"/>
    </w:rPr>
  </w:style>
  <w:style w:type="character" w:styleId="TekstkomentarzaZnak" w:customStyle="1">
    <w:name w:val="Tekst komentarza Znak"/>
    <w:link w:val="Tekstkomentarza"/>
    <w:uiPriority w:val="99"/>
    <w:qFormat/>
    <w:locked/>
    <w:rsid w:val="005739f6"/>
    <w:rPr>
      <w:rFonts w:cs="Times New Roman"/>
    </w:rPr>
  </w:style>
  <w:style w:type="character" w:styleId="TematkomentarzaZnak" w:customStyle="1">
    <w:name w:val="Temat komentarza Znak"/>
    <w:link w:val="Tematkomentarza"/>
    <w:uiPriority w:val="99"/>
    <w:qFormat/>
    <w:locked/>
    <w:rsid w:val="005739f6"/>
    <w:rPr>
      <w:rFonts w:cs="Times New Roman"/>
      <w:b/>
      <w:bCs/>
    </w:rPr>
  </w:style>
  <w:style w:type="character" w:styleId="KomrkatabeliZnak" w:customStyle="1">
    <w:name w:val="Komórka tabeli Znak"/>
    <w:link w:val="Komrkatabeli"/>
    <w:uiPriority w:val="99"/>
    <w:qFormat/>
    <w:locked/>
    <w:rsid w:val="00f77450"/>
    <w:rPr>
      <w:rFonts w:cs="Calibri"/>
      <w:lang w:val="en-GB"/>
    </w:rPr>
  </w:style>
  <w:style w:type="character" w:styleId="KomrkanagwekZnak" w:customStyle="1">
    <w:name w:val="Komórka nagłówek Znak"/>
    <w:link w:val="Komrkanagwek"/>
    <w:uiPriority w:val="99"/>
    <w:qFormat/>
    <w:locked/>
    <w:rsid w:val="00f77450"/>
    <w:rPr>
      <w:rFonts w:cs="Calibri"/>
      <w:b/>
      <w:color w:val="FFFFFF"/>
      <w:lang w:val="en-GB"/>
    </w:rPr>
  </w:style>
  <w:style w:type="character" w:styleId="Kolorowalistaakcent1Znak" w:customStyle="1">
    <w:name w:val="Kolorowa lista — akcent 1 Znak"/>
    <w:link w:val="Kolorowalistaakcent11"/>
    <w:uiPriority w:val="99"/>
    <w:qFormat/>
    <w:locked/>
    <w:rsid w:val="00dc2357"/>
    <w:rPr>
      <w:rFonts w:ascii="Calibri" w:hAnsi="Calibri" w:eastAsia="SimSun" w:cs="Times New Roman"/>
      <w:sz w:val="24"/>
      <w:szCs w:val="24"/>
      <w:lang w:eastAsia="zh-CN"/>
    </w:rPr>
  </w:style>
  <w:style w:type="character" w:styleId="AkapitwypunktowanyZnak" w:customStyle="1">
    <w:name w:val="Akapit wypunktowany Znak"/>
    <w:link w:val="Akapitwypunktowany"/>
    <w:uiPriority w:val="99"/>
    <w:qFormat/>
    <w:locked/>
    <w:rsid w:val="00f77450"/>
    <w:rPr>
      <w:rFonts w:eastAsia="SimSun"/>
      <w:sz w:val="22"/>
      <w:szCs w:val="22"/>
      <w:lang w:val="x-none" w:eastAsia="zh-CN"/>
    </w:rPr>
  </w:style>
  <w:style w:type="character" w:styleId="ZwykytekstZnak" w:customStyle="1">
    <w:name w:val="Zwykły tekst Znak"/>
    <w:link w:val="Zwykytekst"/>
    <w:uiPriority w:val="99"/>
    <w:qFormat/>
    <w:locked/>
    <w:rsid w:val="00c8287a"/>
    <w:rPr>
      <w:rFonts w:ascii="Consolas" w:hAnsi="Consolas" w:cs="Consolas"/>
      <w:sz w:val="21"/>
      <w:szCs w:val="21"/>
    </w:rPr>
  </w:style>
  <w:style w:type="character" w:styleId="MapadokumentuZnak" w:customStyle="1">
    <w:name w:val="Mapa dokumentu Znak"/>
    <w:link w:val="Mapadokumentu"/>
    <w:uiPriority w:val="99"/>
    <w:semiHidden/>
    <w:qFormat/>
    <w:locked/>
    <w:rsid w:val="00b9271b"/>
    <w:rPr>
      <w:rFonts w:ascii="Lucida Grande" w:hAnsi="Lucida Grande" w:cs="Lucida Grande"/>
      <w:sz w:val="24"/>
      <w:szCs w:val="24"/>
    </w:rPr>
  </w:style>
  <w:style w:type="character" w:styleId="TabelatreZnak" w:customStyle="1">
    <w:name w:val="Tabela treść Znak"/>
    <w:link w:val="Tabelatre"/>
    <w:uiPriority w:val="99"/>
    <w:qFormat/>
    <w:locked/>
    <w:rsid w:val="00e10e76"/>
    <w:rPr>
      <w:rFonts w:ascii="Arial" w:hAnsi="Arial"/>
    </w:rPr>
  </w:style>
  <w:style w:type="character" w:styleId="Redniasiatka1akcent2Znak" w:customStyle="1">
    <w:name w:val="Średnia siatka 1 — akcent 2 Znak"/>
    <w:link w:val="redniasiatka1akcent21"/>
    <w:uiPriority w:val="34"/>
    <w:qFormat/>
    <w:locked/>
    <w:rsid w:val="0023432c"/>
    <w:rPr>
      <w:rFonts w:eastAsia="Calibri"/>
      <w:sz w:val="22"/>
      <w:szCs w:val="22"/>
    </w:rPr>
  </w:style>
  <w:style w:type="character" w:styleId="ListLabel1">
    <w:name w:val="ListLabel 1"/>
    <w:qFormat/>
    <w:rPr>
      <w:rFonts w:cs="Times New Roman"/>
      <w:b w:val="false"/>
      <w:i w:val="false"/>
      <w:color w:val="63849B"/>
      <w:sz w:val="36"/>
    </w:rPr>
  </w:style>
  <w:style w:type="character" w:styleId="ListLabel2">
    <w:name w:val="ListLabel 2"/>
    <w:qFormat/>
    <w:rPr>
      <w:rFonts w:cs="Times New Roman"/>
      <w:b/>
      <w:i w:val="false"/>
      <w:color w:val="63849B"/>
      <w:sz w:val="28"/>
    </w:rPr>
  </w:style>
  <w:style w:type="character" w:styleId="ListLabel3">
    <w:name w:val="ListLabel 3"/>
    <w:qFormat/>
    <w:rPr>
      <w:rFonts w:cs="Times New Roman"/>
      <w:b w:val="false"/>
      <w:i w:val="false"/>
      <w:color w:val="63849B"/>
      <w:sz w:val="24"/>
    </w:rPr>
  </w:style>
  <w:style w:type="character" w:styleId="ListLabel4">
    <w:name w:val="ListLabel 4"/>
    <w:qFormat/>
    <w:rPr>
      <w:rFonts w:cs="Times New Roman"/>
      <w:b/>
      <w:i w:val="false"/>
      <w:color w:val="63849B"/>
      <w:sz w:val="22"/>
    </w:rPr>
  </w:style>
  <w:style w:type="character" w:styleId="ListLabel5">
    <w:name w:val="ListLabel 5"/>
    <w:qFormat/>
    <w:rPr>
      <w:rFonts w:cs="Courier New"/>
    </w:rPr>
  </w:style>
  <w:style w:type="character" w:styleId="ListLabel6">
    <w:name w:val="ListLabel 6"/>
    <w:qFormat/>
    <w:rPr>
      <w:rFonts w:eastAsia="Times New Roman" w:cs="Times New Roman"/>
    </w:rPr>
  </w:style>
  <w:style w:type="character" w:styleId="Odwiedzoneczeinternetowe">
    <w:name w:val="Odwiedzone łącze internetowe"/>
    <w:rPr>
      <w:color w:val="800000"/>
      <w:u w:val="single"/>
      <w:lang w:val="zxx" w:eastAsia="zxx" w:bidi="zxx"/>
    </w:rPr>
  </w:style>
  <w:style w:type="character" w:styleId="Czeindeksu">
    <w:name w:val="Łącze indeksu"/>
    <w:qFormat/>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Treść tekstu"/>
    <w:basedOn w:val="Normal"/>
    <w:link w:val="TekstpodstawowyZnak"/>
    <w:autoRedefine/>
    <w:uiPriority w:val="99"/>
    <w:rsid w:val="001d12e8"/>
    <w:pPr>
      <w:keepLines/>
      <w:suppressAutoHyphens w:val="true"/>
      <w:overflowPunct w:val="true"/>
      <w:ind w:left="993" w:hanging="426"/>
      <w:textAlignment w:val="baseline"/>
    </w:pPr>
    <w:rPr>
      <w:rFonts w:ascii="Times New Roman" w:hAnsi="Times New Roman"/>
      <w:sz w:val="20"/>
      <w:szCs w:val="20"/>
      <w:lang w:val="x-none" w:eastAsia="x-none"/>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
    <w:name w:val="Główka"/>
    <w:basedOn w:val="Normal"/>
    <w:link w:val="NagwekZnak"/>
    <w:uiPriority w:val="99"/>
    <w:rsid w:val="00b209a9"/>
    <w:pPr>
      <w:tabs>
        <w:tab w:val="center" w:pos="4536" w:leader="none"/>
        <w:tab w:val="right" w:pos="9072" w:leader="none"/>
      </w:tabs>
    </w:pPr>
    <w:rPr>
      <w:szCs w:val="20"/>
      <w:lang w:val="x-none" w:eastAsia="x-none"/>
    </w:rPr>
  </w:style>
  <w:style w:type="paragraph" w:styleId="Stopka">
    <w:name w:val="Stopka"/>
    <w:basedOn w:val="Normal"/>
    <w:link w:val="StopkaZnak"/>
    <w:uiPriority w:val="99"/>
    <w:rsid w:val="00b209a9"/>
    <w:pPr>
      <w:tabs>
        <w:tab w:val="center" w:pos="4536" w:leader="none"/>
        <w:tab w:val="right" w:pos="9072" w:leader="none"/>
      </w:tabs>
    </w:pPr>
    <w:rPr>
      <w:szCs w:val="20"/>
      <w:lang w:val="x-none" w:eastAsia="x-none"/>
    </w:rPr>
  </w:style>
  <w:style w:type="paragraph" w:styleId="Tabelatre" w:customStyle="1">
    <w:name w:val="Tabela treść"/>
    <w:basedOn w:val="Normal"/>
    <w:link w:val="TabelatreZnak"/>
    <w:uiPriority w:val="99"/>
    <w:qFormat/>
    <w:rsid w:val="00ad1021"/>
    <w:pPr>
      <w:spacing w:before="60" w:after="60"/>
    </w:pPr>
    <w:rPr>
      <w:rFonts w:ascii="Arial" w:hAnsi="Arial"/>
      <w:sz w:val="20"/>
      <w:szCs w:val="20"/>
    </w:rPr>
  </w:style>
  <w:style w:type="paragraph" w:styleId="Kolorowalistaakcent11" w:customStyle="1">
    <w:name w:val="Kolorowa lista — akcent 11"/>
    <w:basedOn w:val="Normal"/>
    <w:link w:val="Kolorowalistaakcent1Znak"/>
    <w:uiPriority w:val="99"/>
    <w:qFormat/>
    <w:rsid w:val="00dc2357"/>
    <w:pPr>
      <w:spacing w:before="0" w:after="0"/>
      <w:ind w:left="720" w:hanging="0"/>
      <w:contextualSpacing/>
    </w:pPr>
    <w:rPr>
      <w:rFonts w:eastAsia="SimSun"/>
      <w:sz w:val="24"/>
      <w:szCs w:val="24"/>
      <w:lang w:val="x-none" w:eastAsia="zh-CN"/>
    </w:rPr>
  </w:style>
  <w:style w:type="paragraph" w:styleId="Nagwekspisutreci1" w:customStyle="1">
    <w:name w:val="Nagłówek spisu treści1"/>
    <w:basedOn w:val="Nagwek1"/>
    <w:uiPriority w:val="99"/>
    <w:qFormat/>
    <w:rsid w:val="007810a8"/>
    <w:pPr>
      <w:numPr>
        <w:ilvl w:val="0"/>
        <w:numId w:val="0"/>
      </w:numPr>
      <w:spacing w:before="0" w:after="120"/>
    </w:pPr>
    <w:rPr>
      <w:lang w:eastAsia="en-US"/>
    </w:rPr>
  </w:style>
  <w:style w:type="paragraph" w:styleId="Spistreci1">
    <w:name w:val="Spis treści 1"/>
    <w:basedOn w:val="Normal"/>
    <w:autoRedefine/>
    <w:uiPriority w:val="39"/>
    <w:rsid w:val="007810a8"/>
    <w:pPr>
      <w:tabs>
        <w:tab w:val="left" w:pos="440" w:leader="none"/>
        <w:tab w:val="right" w:pos="9907" w:leader="dot"/>
      </w:tabs>
      <w:ind w:left="0" w:hanging="0"/>
    </w:pPr>
    <w:rPr>
      <w:rFonts w:eastAsia="SimSun"/>
      <w:b/>
      <w:szCs w:val="24"/>
      <w:lang w:eastAsia="zh-CN"/>
    </w:rPr>
  </w:style>
  <w:style w:type="paragraph" w:styleId="Spistreci2">
    <w:name w:val="Spis treści 2"/>
    <w:basedOn w:val="Normal"/>
    <w:autoRedefine/>
    <w:uiPriority w:val="39"/>
    <w:rsid w:val="007810a8"/>
    <w:pPr>
      <w:tabs>
        <w:tab w:val="left" w:pos="880" w:leader="none"/>
        <w:tab w:val="right" w:pos="9907" w:leader="dot"/>
      </w:tabs>
    </w:pPr>
    <w:rPr/>
  </w:style>
  <w:style w:type="paragraph" w:styleId="Tekstpodstawowy21" w:customStyle="1">
    <w:name w:val="Tekst podstawowy 21"/>
    <w:basedOn w:val="Normal"/>
    <w:uiPriority w:val="99"/>
    <w:qFormat/>
    <w:rsid w:val="007801ce"/>
    <w:pPr>
      <w:widowControl w:val="false"/>
    </w:pPr>
    <w:rPr>
      <w:rFonts w:ascii="Times New Roman" w:hAnsi="Times New Roman"/>
      <w:i/>
      <w:sz w:val="24"/>
      <w:szCs w:val="20"/>
    </w:rPr>
  </w:style>
  <w:style w:type="paragraph" w:styleId="Redniasiatka21" w:customStyle="1">
    <w:name w:val="Średnia siatka 21"/>
    <w:link w:val="redniasiatka2Znak"/>
    <w:uiPriority w:val="99"/>
    <w:qFormat/>
    <w:rsid w:val="002837fc"/>
    <w:pPr>
      <w:widowControl/>
      <w:suppressAutoHyphens w:val="true"/>
      <w:bidi w:val="0"/>
      <w:ind w:left="221" w:hanging="0"/>
      <w:jc w:val="left"/>
    </w:pPr>
    <w:rPr>
      <w:rFonts w:ascii="Calibri" w:hAnsi="Calibri" w:eastAsia="Times New Roman" w:cs="Times New Roman"/>
      <w:color w:val="auto"/>
      <w:sz w:val="22"/>
      <w:szCs w:val="22"/>
      <w:lang w:val="pl-PL" w:eastAsia="pl-PL" w:bidi="ar-SA"/>
    </w:rPr>
  </w:style>
  <w:style w:type="paragraph" w:styleId="BalloonText">
    <w:name w:val="Balloon Text"/>
    <w:basedOn w:val="Normal"/>
    <w:link w:val="TekstdymkaZnak"/>
    <w:uiPriority w:val="99"/>
    <w:qFormat/>
    <w:rsid w:val="002837fc"/>
    <w:pPr/>
    <w:rPr>
      <w:rFonts w:ascii="Tahoma" w:hAnsi="Tahoma"/>
      <w:sz w:val="16"/>
      <w:szCs w:val="16"/>
      <w:lang w:val="x-none" w:eastAsia="x-none"/>
    </w:rPr>
  </w:style>
  <w:style w:type="paragraph" w:styleId="Kolorowecieniowanieakcent11" w:customStyle="1">
    <w:name w:val="Kolorowe cieniowanie — akcent 11"/>
    <w:uiPriority w:val="99"/>
    <w:qFormat/>
    <w:rsid w:val="007a3adb"/>
    <w:pPr>
      <w:widowControl/>
      <w:suppressAutoHyphens w:val="true"/>
      <w:bidi w:val="0"/>
      <w:ind w:left="221" w:hanging="0"/>
      <w:jc w:val="left"/>
    </w:pPr>
    <w:rPr>
      <w:rFonts w:ascii="Calibri" w:hAnsi="Calibri" w:eastAsia="Times New Roman" w:cs="Times New Roman"/>
      <w:color w:val="auto"/>
      <w:sz w:val="22"/>
      <w:szCs w:val="22"/>
      <w:lang w:val="pl-PL" w:eastAsia="pl-PL" w:bidi="ar-SA"/>
    </w:rPr>
  </w:style>
  <w:style w:type="paragraph" w:styleId="Spistreci3">
    <w:name w:val="Spis treści 3"/>
    <w:basedOn w:val="Normal"/>
    <w:autoRedefine/>
    <w:uiPriority w:val="39"/>
    <w:rsid w:val="007810a8"/>
    <w:pPr>
      <w:tabs>
        <w:tab w:val="right" w:pos="9895" w:leader="dot"/>
      </w:tabs>
      <w:ind w:left="1275" w:hanging="833"/>
    </w:pPr>
    <w:rPr>
      <w:lang w:eastAsia="en-US"/>
    </w:rPr>
  </w:style>
  <w:style w:type="paragraph" w:styleId="Annotationtext">
    <w:name w:val="annotation text"/>
    <w:basedOn w:val="Normal"/>
    <w:link w:val="TekstkomentarzaZnak"/>
    <w:uiPriority w:val="99"/>
    <w:qFormat/>
    <w:rsid w:val="005739f6"/>
    <w:pPr/>
    <w:rPr>
      <w:sz w:val="20"/>
      <w:szCs w:val="20"/>
      <w:lang w:val="x-none" w:eastAsia="x-none"/>
    </w:rPr>
  </w:style>
  <w:style w:type="paragraph" w:styleId="Annotationsubject">
    <w:name w:val="annotation subject"/>
    <w:basedOn w:val="Annotationtext"/>
    <w:link w:val="TematkomentarzaZnak"/>
    <w:uiPriority w:val="99"/>
    <w:qFormat/>
    <w:rsid w:val="005739f6"/>
    <w:pPr/>
    <w:rPr>
      <w:b/>
      <w:bCs/>
    </w:rPr>
  </w:style>
  <w:style w:type="paragraph" w:styleId="Komrkatabeli" w:customStyle="1">
    <w:name w:val="Komórka tabeli"/>
    <w:basedOn w:val="Normal"/>
    <w:link w:val="KomrkatabeliZnak"/>
    <w:uiPriority w:val="99"/>
    <w:qFormat/>
    <w:rsid w:val="00f77450"/>
    <w:pPr>
      <w:spacing w:lineRule="auto" w:line="276" w:before="80" w:after="80"/>
      <w:jc w:val="left"/>
    </w:pPr>
    <w:rPr>
      <w:sz w:val="20"/>
      <w:szCs w:val="20"/>
      <w:lang w:val="en-GB" w:eastAsia="x-none"/>
    </w:rPr>
  </w:style>
  <w:style w:type="paragraph" w:styleId="Komrkanagwek" w:customStyle="1">
    <w:name w:val="Komórka nagłówek"/>
    <w:basedOn w:val="Komrkatabeli"/>
    <w:link w:val="KomrkanagwekZnak"/>
    <w:uiPriority w:val="99"/>
    <w:qFormat/>
    <w:rsid w:val="00f77450"/>
    <w:pPr/>
    <w:rPr>
      <w:b/>
      <w:color w:val="FFFFFF"/>
    </w:rPr>
  </w:style>
  <w:style w:type="paragraph" w:styleId="Akapitwypunktowany" w:customStyle="1">
    <w:name w:val="Akapit wypunktowany"/>
    <w:basedOn w:val="Kolorowalistaakcent11"/>
    <w:link w:val="AkapitwypunktowanyZnak"/>
    <w:uiPriority w:val="99"/>
    <w:qFormat/>
    <w:rsid w:val="00f77450"/>
    <w:pPr>
      <w:spacing w:before="0" w:after="120"/>
      <w:ind w:left="714" w:hanging="357"/>
      <w:contextualSpacing/>
    </w:pPr>
    <w:rPr>
      <w:sz w:val="22"/>
      <w:szCs w:val="22"/>
    </w:rPr>
  </w:style>
  <w:style w:type="paragraph" w:styleId="Tekstpodstawowybodytext" w:customStyle="1">
    <w:name w:val="Tekst podstawowy.body text"/>
    <w:basedOn w:val="Normal"/>
    <w:uiPriority w:val="99"/>
    <w:qFormat/>
    <w:rsid w:val="004768ba"/>
    <w:pPr>
      <w:widowControl w:val="false"/>
      <w:spacing w:before="120" w:after="120"/>
      <w:ind w:left="2520" w:hanging="0"/>
      <w:jc w:val="left"/>
    </w:pPr>
    <w:rPr>
      <w:rFonts w:ascii="Book Antiqua" w:hAnsi="Book Antiqua"/>
      <w:sz w:val="20"/>
      <w:szCs w:val="20"/>
    </w:rPr>
  </w:style>
  <w:style w:type="paragraph" w:styleId="PlainText">
    <w:name w:val="Plain Text"/>
    <w:basedOn w:val="Normal"/>
    <w:link w:val="ZwykytekstZnak"/>
    <w:uiPriority w:val="99"/>
    <w:qFormat/>
    <w:rsid w:val="00c8287a"/>
    <w:pPr>
      <w:jc w:val="left"/>
    </w:pPr>
    <w:rPr>
      <w:rFonts w:ascii="Consolas" w:hAnsi="Consolas"/>
      <w:sz w:val="21"/>
      <w:szCs w:val="21"/>
      <w:lang w:val="x-none" w:eastAsia="x-none"/>
    </w:rPr>
  </w:style>
  <w:style w:type="paragraph" w:styleId="DocumentMap">
    <w:name w:val="Document Map"/>
    <w:basedOn w:val="Normal"/>
    <w:link w:val="MapadokumentuZnak"/>
    <w:uiPriority w:val="99"/>
    <w:semiHidden/>
    <w:qFormat/>
    <w:locked/>
    <w:rsid w:val="00b9271b"/>
    <w:pPr/>
    <w:rPr>
      <w:rFonts w:ascii="Lucida Grande" w:hAnsi="Lucida Grande"/>
      <w:sz w:val="24"/>
      <w:szCs w:val="24"/>
      <w:lang w:val="x-none" w:eastAsia="x-none"/>
    </w:rPr>
  </w:style>
  <w:style w:type="paragraph" w:styleId="PqiTabBody" w:customStyle="1">
    <w:name w:val="pqiTabBody"/>
    <w:uiPriority w:val="99"/>
    <w:qFormat/>
    <w:rsid w:val="008f5e88"/>
    <w:pPr>
      <w:widowControl/>
      <w:suppressAutoHyphens w:val="true"/>
      <w:bidi w:val="0"/>
      <w:spacing w:before="0" w:after="40"/>
      <w:ind w:left="221" w:hanging="0"/>
      <w:jc w:val="left"/>
    </w:pPr>
    <w:rPr>
      <w:rFonts w:ascii="Arial" w:hAnsi="Arial" w:eastAsia="Times New Roman" w:cs="Times New Roman"/>
      <w:color w:val="auto"/>
      <w:sz w:val="22"/>
      <w:szCs w:val="20"/>
      <w:lang w:val="pl-PL" w:eastAsia="pl-PL" w:bidi="ar-SA"/>
    </w:rPr>
  </w:style>
  <w:style w:type="paragraph" w:styleId="Pqitabbody1" w:customStyle="1">
    <w:name w:val="pqitabbody"/>
    <w:basedOn w:val="Normal"/>
    <w:uiPriority w:val="99"/>
    <w:qFormat/>
    <w:rsid w:val="008f5e88"/>
    <w:pPr>
      <w:spacing w:before="0" w:after="40"/>
      <w:jc w:val="left"/>
    </w:pPr>
    <w:rPr>
      <w:rFonts w:ascii="Arial" w:hAnsi="Arial" w:cs="Arial"/>
      <w:sz w:val="20"/>
      <w:szCs w:val="20"/>
    </w:rPr>
  </w:style>
  <w:style w:type="paragraph" w:styleId="Kolorowecieniowanieakcent12" w:customStyle="1">
    <w:name w:val="Kolorowe cieniowanie — akcent 12"/>
    <w:uiPriority w:val="71"/>
    <w:qFormat/>
    <w:rsid w:val="00c71d4d"/>
    <w:pPr>
      <w:widowControl/>
      <w:suppressAutoHyphens w:val="true"/>
      <w:bidi w:val="0"/>
      <w:ind w:left="221" w:hanging="0"/>
      <w:jc w:val="left"/>
    </w:pPr>
    <w:rPr>
      <w:rFonts w:ascii="Calibri" w:hAnsi="Calibri" w:eastAsia="Times New Roman" w:cs="Times New Roman"/>
      <w:color w:val="auto"/>
      <w:sz w:val="22"/>
      <w:szCs w:val="22"/>
      <w:lang w:val="pl-PL" w:eastAsia="pl-PL" w:bidi="ar-SA"/>
    </w:rPr>
  </w:style>
  <w:style w:type="paragraph" w:styleId="Redniasiatka1akcent21" w:customStyle="1">
    <w:name w:val="Średnia siatka 1 — akcent 21"/>
    <w:basedOn w:val="Normal"/>
    <w:link w:val="redniasiatka1akcent2Znak"/>
    <w:uiPriority w:val="34"/>
    <w:qFormat/>
    <w:rsid w:val="001b748f"/>
    <w:pPr>
      <w:ind w:left="720" w:hanging="0"/>
      <w:jc w:val="left"/>
    </w:pPr>
    <w:rPr>
      <w:rFonts w:eastAsia="Calibri"/>
    </w:rPr>
  </w:style>
  <w:style w:type="paragraph" w:styleId="Rednialista2akcent21" w:customStyle="1">
    <w:name w:val="Średnia lista 2 — akcent 21"/>
    <w:uiPriority w:val="99"/>
    <w:semiHidden/>
    <w:qFormat/>
    <w:rsid w:val="00cd7239"/>
    <w:pPr>
      <w:widowControl/>
      <w:suppressAutoHyphens w:val="true"/>
      <w:bidi w:val="0"/>
      <w:ind w:left="221" w:hanging="0"/>
      <w:jc w:val="left"/>
    </w:pPr>
    <w:rPr>
      <w:rFonts w:ascii="Calibri" w:hAnsi="Calibri" w:eastAsia="Times New Roman" w:cs="Times New Roman"/>
      <w:color w:val="auto"/>
      <w:sz w:val="22"/>
      <w:szCs w:val="22"/>
      <w:lang w:val="pl-PL" w:eastAsia="pl-PL" w:bidi="ar-SA"/>
    </w:rPr>
  </w:style>
  <w:style w:type="paragraph" w:styleId="NormalWeb">
    <w:name w:val="Normal (Web)"/>
    <w:basedOn w:val="Normal"/>
    <w:uiPriority w:val="99"/>
    <w:semiHidden/>
    <w:unhideWhenUsed/>
    <w:qFormat/>
    <w:locked/>
    <w:rsid w:val="0072753c"/>
    <w:pPr>
      <w:spacing w:beforeAutospacing="1" w:afterAutospacing="1"/>
      <w:jc w:val="left"/>
    </w:pPr>
    <w:rPr>
      <w:rFonts w:ascii="Times" w:hAnsi="Times" w:eastAsia="MS Mincho"/>
      <w:sz w:val="20"/>
      <w:szCs w:val="20"/>
    </w:rPr>
  </w:style>
  <w:style w:type="paragraph" w:styleId="StylTabelanagwekTahoma9pktKolorniestandardowyRGB0" w:customStyle="1">
    <w:name w:val="Styl Tabela nagłówek + Tahoma 9 pkt Kolor niestandardowy (RGB(0"/>
    <w:basedOn w:val="Normal"/>
    <w:qFormat/>
    <w:rsid w:val="00c422d7"/>
    <w:pPr>
      <w:spacing w:before="60" w:after="60"/>
      <w:jc w:val="left"/>
    </w:pPr>
    <w:rPr>
      <w:rFonts w:ascii="Tahoma" w:hAnsi="Tahoma"/>
      <w:b/>
      <w:bCs/>
      <w:color w:val="003C7D"/>
      <w:sz w:val="16"/>
      <w:szCs w:val="20"/>
    </w:rPr>
  </w:style>
  <w:style w:type="paragraph" w:styleId="Podpistabeli" w:customStyle="1">
    <w:name w:val="Podpis tabeli"/>
    <w:basedOn w:val="Normal"/>
    <w:qFormat/>
    <w:rsid w:val="00561a9b"/>
    <w:pPr>
      <w:jc w:val="left"/>
    </w:pPr>
    <w:rPr>
      <w:rFonts w:ascii="Verdana" w:hAnsi="Verdana" w:eastAsia="MS Mincho"/>
      <w:sz w:val="16"/>
      <w:szCs w:val="16"/>
    </w:rPr>
  </w:style>
  <w:style w:type="paragraph" w:styleId="ListParagraph">
    <w:name w:val="List Paragraph"/>
    <w:basedOn w:val="Normal"/>
    <w:uiPriority w:val="72"/>
    <w:qFormat/>
    <w:rsid w:val="00e64b00"/>
    <w:pPr>
      <w:spacing w:before="0" w:after="0"/>
      <w:ind w:left="720" w:hanging="0"/>
      <w:contextualSpacing/>
    </w:pPr>
    <w:rPr/>
  </w:style>
  <w:style w:type="paragraph" w:styleId="Nagwekspisutreci">
    <w:name w:val="Nagłówek spisu treści"/>
    <w:basedOn w:val="Nagwek1"/>
    <w:uiPriority w:val="39"/>
    <w:semiHidden/>
    <w:unhideWhenUsed/>
    <w:qFormat/>
    <w:rsid w:val="007810a8"/>
    <w:pPr>
      <w:numPr>
        <w:ilvl w:val="0"/>
        <w:numId w:val="0"/>
      </w:numPr>
      <w:spacing w:lineRule="auto" w:line="276" w:before="480" w:after="0"/>
      <w:jc w:val="left"/>
    </w:pPr>
    <w:rPr>
      <w:rFonts w:ascii="Cambria" w:hAnsi="Cambria" w:eastAsia="ＭＳ ゴシック" w:cs="" w:asciiTheme="majorHAnsi" w:cstheme="majorBidi" w:eastAsiaTheme="majorEastAsia" w:hAnsiTheme="majorHAnsi"/>
      <w:color w:val="365F91" w:themeColor="accent1" w:themeShade="bf"/>
      <w:sz w:val="28"/>
      <w:lang w:val="pl-PL" w:eastAsia="pl-PL"/>
    </w:rPr>
  </w:style>
  <w:style w:type="paragraph" w:styleId="Caption">
    <w:name w:val="caption"/>
    <w:basedOn w:val="Normal"/>
    <w:unhideWhenUsed/>
    <w:qFormat/>
    <w:locked/>
    <w:rsid w:val="00167930"/>
    <w:pPr>
      <w:spacing w:lineRule="auto" w:line="240" w:before="0" w:after="200"/>
    </w:pPr>
    <w:rPr>
      <w:rFonts w:eastAsia="ＭＳ 明朝" w:cs="" w:cstheme="minorBidi" w:eastAsiaTheme="minorEastAsia"/>
      <w:b/>
      <w:bCs/>
      <w:color w:val="4F81BD" w:themeColor="accent1"/>
      <w:sz w:val="18"/>
      <w:szCs w:val="18"/>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99"/>
    <w:rsid w:val="00371dd1"/>
    <w:rPr>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hyperlink" Target=""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4.png"/>
</Relationships>
</file>

<file path=word/_rels/footer2.xml.rels><?xml version="1.0" encoding="UTF-8"?>
<Relationships xmlns="http://schemas.openxmlformats.org/package/2006/relationships"><Relationship Id="rId1" Type="http://schemas.openxmlformats.org/officeDocument/2006/relationships/image" Target="media/image5.png"/>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999A7-B4B7-425C-97A7-5CF1E94F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Application>LibreOffice/4.4.1.2$Windows_x86 LibreOffice_project/45e2de17089c24a1fa810c8f975a7171ba4cd432</Application>
  <Paragraphs>245</Paragraphs>
  <Company>Sil-art Rycho444</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2015-07-31T10:55:00Z</dcterms:created>
  <dc:creator>pspychalski</dc:creator>
  <dc:language>pl-PL</dc:language>
  <cp:lastPrinted>2015-02-06T06:15:00Z</cp:lastPrinted>
  <dcterms:modified xsi:type="dcterms:W3CDTF">2015-08-24T18:21:56Z</dcterms:modified>
  <cp:revision>3</cp:revision>
  <dc:title>Raport miesięczny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Sil-art Rycho444</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